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73C" w:rsidRPr="00FD473C" w:rsidRDefault="00FD473C" w:rsidP="00FD473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D473C">
        <w:rPr>
          <w:rFonts w:ascii="Times New Roman" w:eastAsia="Times New Roman" w:hAnsi="Times New Roman" w:cs="Times New Roman"/>
          <w:b/>
          <w:bCs/>
          <w:kern w:val="36"/>
          <w:sz w:val="48"/>
          <w:szCs w:val="48"/>
        </w:rPr>
        <w:t>Dual or single antiplatelet therapy after coronary surgery for acute coronary syndrome (</w:t>
      </w:r>
      <w:bookmarkStart w:id="0" w:name="_GoBack"/>
      <w:r w:rsidRPr="00FD473C">
        <w:rPr>
          <w:rFonts w:ascii="Times New Roman" w:eastAsia="Times New Roman" w:hAnsi="Times New Roman" w:cs="Times New Roman"/>
          <w:b/>
          <w:bCs/>
          <w:kern w:val="36"/>
          <w:sz w:val="48"/>
          <w:szCs w:val="48"/>
        </w:rPr>
        <w:t>TACSI trial</w:t>
      </w:r>
      <w:bookmarkEnd w:id="0"/>
      <w:r w:rsidRPr="00FD473C">
        <w:rPr>
          <w:rFonts w:ascii="Times New Roman" w:eastAsia="Times New Roman" w:hAnsi="Times New Roman" w:cs="Times New Roman"/>
          <w:b/>
          <w:bCs/>
          <w:kern w:val="36"/>
          <w:sz w:val="48"/>
          <w:szCs w:val="48"/>
        </w:rPr>
        <w:t>): Rationale and design of an investigator-initiated, prospective, multinational, registry-based randomized clinical trial</w:t>
      </w:r>
    </w:p>
    <w:p w:rsidR="00FD473C" w:rsidRPr="00FD473C" w:rsidRDefault="00FD473C" w:rsidP="00FD473C">
      <w:pPr>
        <w:spacing w:after="0" w:line="240" w:lineRule="auto"/>
        <w:rPr>
          <w:rFonts w:ascii="Times New Roman" w:eastAsia="Times New Roman" w:hAnsi="Times New Roman" w:cs="Times New Roman"/>
          <w:sz w:val="24"/>
          <w:szCs w:val="24"/>
        </w:rPr>
      </w:pPr>
      <w:r w:rsidRPr="00FD473C">
        <w:rPr>
          <w:rFonts w:ascii="Times New Roman" w:eastAsia="Times New Roman" w:hAnsi="Times New Roman" w:cs="Times New Roman"/>
          <w:sz w:val="24"/>
          <w:szCs w:val="24"/>
        </w:rPr>
        <w:t>Author links open overlay panel</w:t>
      </w:r>
    </w:p>
    <w:p w:rsidR="00FD473C" w:rsidRPr="00FD473C" w:rsidRDefault="00FD473C" w:rsidP="00FD473C">
      <w:pPr>
        <w:spacing w:after="0" w:line="240" w:lineRule="auto"/>
        <w:rPr>
          <w:rFonts w:ascii="Times New Roman" w:eastAsia="Times New Roman" w:hAnsi="Times New Roman" w:cs="Times New Roman"/>
          <w:sz w:val="24"/>
          <w:szCs w:val="24"/>
        </w:rPr>
      </w:pPr>
      <w:hyperlink r:id="rId4" w:tgtFrame="_blank" w:tooltip="Persistent link using digital object identifier" w:history="1">
        <w:r w:rsidRPr="00FD473C">
          <w:rPr>
            <w:rFonts w:ascii="Times New Roman" w:eastAsia="Times New Roman" w:hAnsi="Times New Roman" w:cs="Times New Roman"/>
            <w:color w:val="0000FF"/>
            <w:sz w:val="24"/>
            <w:szCs w:val="24"/>
            <w:u w:val="single"/>
          </w:rPr>
          <w:t>https://doi.org/10.1016/j.ahj.2023.01.011</w:t>
        </w:r>
      </w:hyperlink>
      <w:hyperlink r:id="rId5" w:tgtFrame="_blank" w:history="1">
        <w:r w:rsidRPr="00FD473C">
          <w:rPr>
            <w:rFonts w:ascii="Times New Roman" w:eastAsia="Times New Roman" w:hAnsi="Times New Roman" w:cs="Times New Roman"/>
            <w:color w:val="0000FF"/>
            <w:sz w:val="24"/>
            <w:szCs w:val="24"/>
            <w:u w:val="single"/>
          </w:rPr>
          <w:t>Get rights and content</w:t>
        </w:r>
      </w:hyperlink>
    </w:p>
    <w:p w:rsidR="00FD473C" w:rsidRPr="00FD473C" w:rsidRDefault="00FD473C" w:rsidP="00FD473C">
      <w:pPr>
        <w:spacing w:before="100" w:beforeAutospacing="1" w:after="100" w:afterAutospacing="1" w:line="240" w:lineRule="auto"/>
        <w:outlineLvl w:val="1"/>
        <w:rPr>
          <w:rFonts w:ascii="Times New Roman" w:eastAsia="Times New Roman" w:hAnsi="Times New Roman" w:cs="Times New Roman"/>
          <w:b/>
          <w:bCs/>
          <w:sz w:val="36"/>
          <w:szCs w:val="36"/>
        </w:rPr>
      </w:pPr>
      <w:r w:rsidRPr="00FD473C">
        <w:rPr>
          <w:rFonts w:ascii="Times New Roman" w:eastAsia="Times New Roman" w:hAnsi="Times New Roman" w:cs="Times New Roman"/>
          <w:b/>
          <w:bCs/>
          <w:sz w:val="36"/>
          <w:szCs w:val="36"/>
        </w:rPr>
        <w:t>ABSTRACT</w:t>
      </w:r>
    </w:p>
    <w:p w:rsidR="00FD473C" w:rsidRPr="00FD473C" w:rsidRDefault="00FD473C" w:rsidP="00FD473C">
      <w:pPr>
        <w:spacing w:before="100" w:beforeAutospacing="1" w:after="100" w:afterAutospacing="1" w:line="240" w:lineRule="auto"/>
        <w:rPr>
          <w:rFonts w:ascii="Times New Roman" w:eastAsia="Times New Roman" w:hAnsi="Times New Roman" w:cs="Times New Roman"/>
          <w:sz w:val="24"/>
          <w:szCs w:val="24"/>
        </w:rPr>
      </w:pPr>
      <w:r w:rsidRPr="00FD473C">
        <w:rPr>
          <w:rFonts w:ascii="Times New Roman" w:eastAsia="Times New Roman" w:hAnsi="Times New Roman" w:cs="Times New Roman"/>
          <w:sz w:val="24"/>
          <w:szCs w:val="24"/>
        </w:rPr>
        <w:t xml:space="preserve">The TACSI trial (ClinicalTrials.gov Identifier: NCT03560310) tests the hypothesis that one-year treatment with dual antiplatelet therapy (DAPT) with acetylsalicylic acid (ASA) and </w:t>
      </w:r>
      <w:proofErr w:type="spellStart"/>
      <w:r w:rsidRPr="00FD473C">
        <w:rPr>
          <w:rFonts w:ascii="Times New Roman" w:eastAsia="Times New Roman" w:hAnsi="Times New Roman" w:cs="Times New Roman"/>
          <w:sz w:val="24"/>
          <w:szCs w:val="24"/>
        </w:rPr>
        <w:t>ticagrelor</w:t>
      </w:r>
      <w:proofErr w:type="spellEnd"/>
      <w:r w:rsidRPr="00FD473C">
        <w:rPr>
          <w:rFonts w:ascii="Times New Roman" w:eastAsia="Times New Roman" w:hAnsi="Times New Roman" w:cs="Times New Roman"/>
          <w:sz w:val="24"/>
          <w:szCs w:val="24"/>
        </w:rPr>
        <w:t xml:space="preserve"> is superior to only ASA after isolated coronary artery bypass grafting (CABG) in patients with acute coronary syndrome. The TACSI trial is an investor-initiated pragmatic, prospective, multinational, multicenter, open-label, registry-based randomized trial with 1:1 randomization to DAPT with ASA and </w:t>
      </w:r>
      <w:proofErr w:type="spellStart"/>
      <w:r w:rsidRPr="00FD473C">
        <w:rPr>
          <w:rFonts w:ascii="Times New Roman" w:eastAsia="Times New Roman" w:hAnsi="Times New Roman" w:cs="Times New Roman"/>
          <w:sz w:val="24"/>
          <w:szCs w:val="24"/>
        </w:rPr>
        <w:t>ticagrelor</w:t>
      </w:r>
      <w:proofErr w:type="spellEnd"/>
      <w:r w:rsidRPr="00FD473C">
        <w:rPr>
          <w:rFonts w:ascii="Times New Roman" w:eastAsia="Times New Roman" w:hAnsi="Times New Roman" w:cs="Times New Roman"/>
          <w:sz w:val="24"/>
          <w:szCs w:val="24"/>
        </w:rPr>
        <w:t xml:space="preserve"> or ASA only, in patients undergoing first isolated CABG, with a planned enrollment of 2200 patients at Nordic cardiac surgery centers. The primary efficacy endpoint is a composite of time to all cause death, myocardial infarction, stroke, or new coronary revascularization within 12 months after randomization. The primary safety endpoint is time to hospitalization due to major bleeding. Secondary efficacy endpoints include time to the individual components of the primary endpoint, cardiovascular death and </w:t>
      </w:r>
      <w:proofErr w:type="spellStart"/>
      <w:r w:rsidRPr="00FD473C">
        <w:rPr>
          <w:rFonts w:ascii="Times New Roman" w:eastAsia="Times New Roman" w:hAnsi="Times New Roman" w:cs="Times New Roman"/>
          <w:sz w:val="24"/>
          <w:szCs w:val="24"/>
        </w:rPr>
        <w:t>rehospitalization</w:t>
      </w:r>
      <w:proofErr w:type="spellEnd"/>
      <w:r w:rsidRPr="00FD473C">
        <w:rPr>
          <w:rFonts w:ascii="Times New Roman" w:eastAsia="Times New Roman" w:hAnsi="Times New Roman" w:cs="Times New Roman"/>
          <w:sz w:val="24"/>
          <w:szCs w:val="24"/>
        </w:rPr>
        <w:t xml:space="preserve"> due to cardiovascular causes. High-quality health-care registries are used to assess primary and secondary endpoints. The patients will be followed for 10 years. The TACSI trial will give important information useful for guiding the antiplatelet strategy in acute coronary syndrome patients treated with CABG.</w:t>
      </w:r>
    </w:p>
    <w:p w:rsidR="007A030C" w:rsidRDefault="007A030C" w:rsidP="00BA5FDB">
      <w:pPr>
        <w:rPr>
          <w:lang w:bidi="fa-IR"/>
        </w:rPr>
      </w:pPr>
    </w:p>
    <w:p w:rsidR="007A030C" w:rsidRDefault="007A030C" w:rsidP="00BA5FDB">
      <w:pPr>
        <w:rPr>
          <w:lang w:bidi="fa-IR"/>
        </w:rPr>
      </w:pPr>
    </w:p>
    <w:p w:rsidR="00D21572" w:rsidRDefault="00D21572"/>
    <w:p w:rsidR="00D21572" w:rsidRDefault="00D21572"/>
    <w:p w:rsidR="00D21572" w:rsidRDefault="00D21572"/>
    <w:p w:rsidR="00D21572" w:rsidRDefault="00D21572"/>
    <w:p w:rsidR="00D21572" w:rsidRDefault="00D21572"/>
    <w:p w:rsidR="00385A5D" w:rsidRDefault="00385A5D"/>
    <w:p w:rsidR="00385A5D" w:rsidRDefault="00385A5D"/>
    <w:p w:rsidR="00385A5D" w:rsidRDefault="00385A5D"/>
    <w:p w:rsidR="00385A5D" w:rsidRDefault="00385A5D"/>
    <w:p w:rsidR="00385A5D" w:rsidRDefault="00385A5D"/>
    <w:p w:rsidR="00385A5D" w:rsidRDefault="00385A5D"/>
    <w:p w:rsidR="00385A5D" w:rsidRDefault="00385A5D"/>
    <w:p w:rsidR="00385A5D" w:rsidRDefault="00385A5D"/>
    <w:p w:rsidR="00385A5D" w:rsidRDefault="00385A5D"/>
    <w:p w:rsidR="00385A5D" w:rsidRDefault="00385A5D"/>
    <w:p w:rsidR="00385A5D" w:rsidRDefault="00385A5D"/>
    <w:p w:rsidR="00385A5D" w:rsidRDefault="00385A5D"/>
    <w:p w:rsidR="00385A5D" w:rsidRDefault="00385A5D"/>
    <w:p w:rsidR="00385A5D" w:rsidRDefault="00385A5D"/>
    <w:p w:rsidR="00385A5D" w:rsidRDefault="00385A5D"/>
    <w:p w:rsidR="00385A5D" w:rsidRDefault="00385A5D"/>
    <w:p w:rsidR="00385A5D" w:rsidRDefault="00385A5D"/>
    <w:p w:rsidR="00385A5D" w:rsidRDefault="00385A5D"/>
    <w:p w:rsidR="00385A5D" w:rsidRDefault="00385A5D"/>
    <w:p w:rsidR="00385A5D" w:rsidRDefault="00385A5D"/>
    <w:p w:rsidR="00385A5D" w:rsidRDefault="00385A5D"/>
    <w:p w:rsidR="00385A5D" w:rsidRDefault="00385A5D"/>
    <w:p w:rsidR="00385A5D" w:rsidRDefault="00385A5D"/>
    <w:p w:rsidR="00385A5D" w:rsidRDefault="00385A5D"/>
    <w:p w:rsidR="00385A5D" w:rsidRDefault="00385A5D"/>
    <w:p w:rsidR="00B31652" w:rsidRDefault="00B31652"/>
    <w:p w:rsidR="00B31652" w:rsidRDefault="00B31652"/>
    <w:p w:rsidR="00B31652" w:rsidRDefault="00B31652"/>
    <w:p w:rsidR="00B31652" w:rsidRDefault="00B31652"/>
    <w:p w:rsidR="00B31652" w:rsidRDefault="00B31652"/>
    <w:p w:rsidR="00B31652" w:rsidRDefault="00B31652"/>
    <w:p w:rsidR="00B31652" w:rsidRDefault="00B31652"/>
    <w:p w:rsidR="00B31652" w:rsidRDefault="00B31652"/>
    <w:p w:rsidR="00B31652" w:rsidRDefault="00B31652"/>
    <w:p w:rsidR="00B31652" w:rsidRDefault="00B31652"/>
    <w:p w:rsidR="00B31652" w:rsidRDefault="00B31652"/>
    <w:p w:rsidR="00B31652" w:rsidRDefault="00B31652"/>
    <w:p w:rsidR="00B31652" w:rsidRDefault="00B31652"/>
    <w:p w:rsidR="00B31652" w:rsidRDefault="00B31652"/>
    <w:p w:rsidR="00B31652" w:rsidRDefault="00B31652"/>
    <w:p w:rsidR="00B31652" w:rsidRDefault="00B31652"/>
    <w:p w:rsidR="00B31652" w:rsidRDefault="00B31652"/>
    <w:p w:rsidR="00B31652" w:rsidRDefault="00B31652"/>
    <w:p w:rsidR="00B31652" w:rsidRDefault="00B31652"/>
    <w:p w:rsidR="00B31652" w:rsidRDefault="00B31652"/>
    <w:p w:rsidR="00B31652" w:rsidRDefault="00B31652"/>
    <w:p w:rsidR="00B31652" w:rsidRDefault="00B31652"/>
    <w:p w:rsidR="00B31652" w:rsidRDefault="00B31652"/>
    <w:p w:rsidR="00B31652" w:rsidRDefault="00B31652"/>
    <w:p w:rsidR="00B31652" w:rsidRDefault="00B31652"/>
    <w:p w:rsidR="00B31652" w:rsidRDefault="00B31652"/>
    <w:p w:rsidR="00B31652" w:rsidRDefault="00B31652"/>
    <w:p w:rsidR="00B31652" w:rsidRDefault="00B31652"/>
    <w:p w:rsidR="00B31652" w:rsidRDefault="00B31652"/>
    <w:sectPr w:rsidR="00B31652" w:rsidSect="00B316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089"/>
    <w:rsid w:val="002E136B"/>
    <w:rsid w:val="003150CD"/>
    <w:rsid w:val="00385A5D"/>
    <w:rsid w:val="004337BD"/>
    <w:rsid w:val="00451D48"/>
    <w:rsid w:val="0047457F"/>
    <w:rsid w:val="004E1089"/>
    <w:rsid w:val="007230EC"/>
    <w:rsid w:val="00741577"/>
    <w:rsid w:val="007A030C"/>
    <w:rsid w:val="007D208F"/>
    <w:rsid w:val="009A5A4F"/>
    <w:rsid w:val="00A259A5"/>
    <w:rsid w:val="00B31652"/>
    <w:rsid w:val="00BA5FDB"/>
    <w:rsid w:val="00BA637C"/>
    <w:rsid w:val="00C46B60"/>
    <w:rsid w:val="00C716C7"/>
    <w:rsid w:val="00D1399D"/>
    <w:rsid w:val="00D21572"/>
    <w:rsid w:val="00E96DE5"/>
    <w:rsid w:val="00ED2BFF"/>
    <w:rsid w:val="00F63DDB"/>
    <w:rsid w:val="00FD47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4F36FC-616D-4055-8B32-5C6EFCBDE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0860359">
      <w:bodyDiv w:val="1"/>
      <w:marLeft w:val="0"/>
      <w:marRight w:val="0"/>
      <w:marTop w:val="0"/>
      <w:marBottom w:val="0"/>
      <w:divBdr>
        <w:top w:val="none" w:sz="0" w:space="0" w:color="auto"/>
        <w:left w:val="none" w:sz="0" w:space="0" w:color="auto"/>
        <w:bottom w:val="none" w:sz="0" w:space="0" w:color="auto"/>
        <w:right w:val="none" w:sz="0" w:space="0" w:color="auto"/>
      </w:divBdr>
      <w:divsChild>
        <w:div w:id="88238584">
          <w:marLeft w:val="0"/>
          <w:marRight w:val="0"/>
          <w:marTop w:val="0"/>
          <w:marBottom w:val="0"/>
          <w:divBdr>
            <w:top w:val="none" w:sz="0" w:space="0" w:color="auto"/>
            <w:left w:val="none" w:sz="0" w:space="0" w:color="auto"/>
            <w:bottom w:val="none" w:sz="0" w:space="0" w:color="auto"/>
            <w:right w:val="none" w:sz="0" w:space="0" w:color="auto"/>
          </w:divBdr>
          <w:divsChild>
            <w:div w:id="1403865737">
              <w:marLeft w:val="0"/>
              <w:marRight w:val="0"/>
              <w:marTop w:val="0"/>
              <w:marBottom w:val="0"/>
              <w:divBdr>
                <w:top w:val="none" w:sz="0" w:space="0" w:color="auto"/>
                <w:left w:val="none" w:sz="0" w:space="0" w:color="auto"/>
                <w:bottom w:val="none" w:sz="0" w:space="0" w:color="auto"/>
                <w:right w:val="none" w:sz="0" w:space="0" w:color="auto"/>
              </w:divBdr>
              <w:divsChild>
                <w:div w:id="732655055">
                  <w:marLeft w:val="0"/>
                  <w:marRight w:val="0"/>
                  <w:marTop w:val="0"/>
                  <w:marBottom w:val="0"/>
                  <w:divBdr>
                    <w:top w:val="none" w:sz="0" w:space="0" w:color="auto"/>
                    <w:left w:val="none" w:sz="0" w:space="0" w:color="auto"/>
                    <w:bottom w:val="none" w:sz="0" w:space="0" w:color="auto"/>
                    <w:right w:val="none" w:sz="0" w:space="0" w:color="auto"/>
                  </w:divBdr>
                  <w:divsChild>
                    <w:div w:id="60380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612287">
          <w:marLeft w:val="0"/>
          <w:marRight w:val="0"/>
          <w:marTop w:val="0"/>
          <w:marBottom w:val="0"/>
          <w:divBdr>
            <w:top w:val="none" w:sz="0" w:space="0" w:color="auto"/>
            <w:left w:val="none" w:sz="0" w:space="0" w:color="auto"/>
            <w:bottom w:val="none" w:sz="0" w:space="0" w:color="auto"/>
            <w:right w:val="none" w:sz="0" w:space="0" w:color="auto"/>
          </w:divBdr>
        </w:div>
        <w:div w:id="1667585909">
          <w:marLeft w:val="0"/>
          <w:marRight w:val="0"/>
          <w:marTop w:val="0"/>
          <w:marBottom w:val="0"/>
          <w:divBdr>
            <w:top w:val="none" w:sz="0" w:space="0" w:color="auto"/>
            <w:left w:val="none" w:sz="0" w:space="0" w:color="auto"/>
            <w:bottom w:val="none" w:sz="0" w:space="0" w:color="auto"/>
            <w:right w:val="none" w:sz="0" w:space="0" w:color="auto"/>
          </w:divBdr>
          <w:divsChild>
            <w:div w:id="1683821508">
              <w:marLeft w:val="0"/>
              <w:marRight w:val="0"/>
              <w:marTop w:val="0"/>
              <w:marBottom w:val="0"/>
              <w:divBdr>
                <w:top w:val="none" w:sz="0" w:space="0" w:color="auto"/>
                <w:left w:val="none" w:sz="0" w:space="0" w:color="auto"/>
                <w:bottom w:val="none" w:sz="0" w:space="0" w:color="auto"/>
                <w:right w:val="none" w:sz="0" w:space="0" w:color="auto"/>
              </w:divBdr>
              <w:divsChild>
                <w:div w:id="1058168821">
                  <w:marLeft w:val="0"/>
                  <w:marRight w:val="0"/>
                  <w:marTop w:val="0"/>
                  <w:marBottom w:val="0"/>
                  <w:divBdr>
                    <w:top w:val="none" w:sz="0" w:space="0" w:color="auto"/>
                    <w:left w:val="none" w:sz="0" w:space="0" w:color="auto"/>
                    <w:bottom w:val="none" w:sz="0" w:space="0" w:color="auto"/>
                    <w:right w:val="none" w:sz="0" w:space="0" w:color="auto"/>
                  </w:divBdr>
                  <w:divsChild>
                    <w:div w:id="9791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100.copyright.com/AppDispatchServlet?publisherName=ELS&amp;contentID=S0002870323000182&amp;orderBeanReset=true" TargetMode="External"/><Relationship Id="rId4" Type="http://schemas.openxmlformats.org/officeDocument/2006/relationships/hyperlink" Target="https://doi.org/10.1016/j.ahj.2023.01.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mehrpooya</dc:creator>
  <cp:keywords/>
  <dc:description/>
  <cp:lastModifiedBy>mehrpooya</cp:lastModifiedBy>
  <cp:revision>44</cp:revision>
  <dcterms:created xsi:type="dcterms:W3CDTF">2023-01-16T05:13:00Z</dcterms:created>
  <dcterms:modified xsi:type="dcterms:W3CDTF">2023-01-19T20:26:00Z</dcterms:modified>
</cp:coreProperties>
</file>