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5E48C" w14:textId="77777777" w:rsidR="00E008AE" w:rsidRPr="00E008AE" w:rsidRDefault="00E008AE" w:rsidP="00E008AE">
      <w:pPr>
        <w:spacing w:before="100" w:beforeAutospacing="1" w:after="100" w:afterAutospacing="1" w:line="240" w:lineRule="auto"/>
        <w:outlineLvl w:val="0"/>
        <w:rPr>
          <w:rFonts w:ascii="Times New Roman" w:eastAsia="Times New Roman" w:hAnsi="Times New Roman" w:cs="Times New Roman"/>
          <w:b/>
          <w:bCs/>
          <w:kern w:val="36"/>
          <w:sz w:val="48"/>
          <w:szCs w:val="48"/>
        </w:rPr>
      </w:pPr>
      <w:proofErr w:type="spellStart"/>
      <w:r w:rsidRPr="00E008AE">
        <w:rPr>
          <w:rFonts w:ascii="Times New Roman" w:eastAsia="Times New Roman" w:hAnsi="Times New Roman" w:cs="Times New Roman"/>
          <w:b/>
          <w:bCs/>
          <w:kern w:val="36"/>
          <w:sz w:val="48"/>
          <w:szCs w:val="48"/>
        </w:rPr>
        <w:t>Revascularisation</w:t>
      </w:r>
      <w:proofErr w:type="spellEnd"/>
      <w:r w:rsidRPr="00E008AE">
        <w:rPr>
          <w:rFonts w:ascii="Times New Roman" w:eastAsia="Times New Roman" w:hAnsi="Times New Roman" w:cs="Times New Roman"/>
          <w:b/>
          <w:bCs/>
          <w:kern w:val="36"/>
          <w:sz w:val="48"/>
          <w:szCs w:val="48"/>
        </w:rPr>
        <w:t xml:space="preserve"> or medical therapy in elderly patients with acute anginal syndromes: the RINCAL </w:t>
      </w:r>
      <w:proofErr w:type="spellStart"/>
      <w:r w:rsidRPr="00E008AE">
        <w:rPr>
          <w:rFonts w:ascii="Times New Roman" w:eastAsia="Times New Roman" w:hAnsi="Times New Roman" w:cs="Times New Roman"/>
          <w:b/>
          <w:bCs/>
          <w:kern w:val="36"/>
          <w:sz w:val="48"/>
          <w:szCs w:val="48"/>
        </w:rPr>
        <w:t>randomised</w:t>
      </w:r>
      <w:proofErr w:type="spellEnd"/>
      <w:r w:rsidRPr="00E008AE">
        <w:rPr>
          <w:rFonts w:ascii="Times New Roman" w:eastAsia="Times New Roman" w:hAnsi="Times New Roman" w:cs="Times New Roman"/>
          <w:b/>
          <w:bCs/>
          <w:kern w:val="36"/>
          <w:sz w:val="48"/>
          <w:szCs w:val="48"/>
        </w:rPr>
        <w:t xml:space="preserve"> trial</w:t>
      </w:r>
    </w:p>
    <w:p w14:paraId="268DAC86" w14:textId="77777777" w:rsidR="00E008AE" w:rsidRPr="00E008AE" w:rsidRDefault="00E008AE" w:rsidP="00E008AE">
      <w:pPr>
        <w:spacing w:before="100" w:beforeAutospacing="1" w:after="100" w:afterAutospacing="1" w:line="240" w:lineRule="auto"/>
        <w:rPr>
          <w:rFonts w:ascii="Times New Roman" w:eastAsia="Times New Roman" w:hAnsi="Times New Roman" w:cs="Times New Roman"/>
          <w:sz w:val="24"/>
          <w:szCs w:val="24"/>
        </w:rPr>
      </w:pPr>
      <w:proofErr w:type="spellStart"/>
      <w:r w:rsidRPr="00E008AE">
        <w:rPr>
          <w:rFonts w:ascii="Times New Roman" w:eastAsia="Times New Roman" w:hAnsi="Times New Roman" w:cs="Times New Roman"/>
          <w:sz w:val="24"/>
          <w:szCs w:val="24"/>
        </w:rPr>
        <w:t>EuroIntervention</w:t>
      </w:r>
      <w:proofErr w:type="spellEnd"/>
      <w:r w:rsidRPr="00E008AE">
        <w:rPr>
          <w:rFonts w:ascii="Times New Roman" w:eastAsia="Times New Roman" w:hAnsi="Times New Roman" w:cs="Times New Roman"/>
          <w:sz w:val="24"/>
          <w:szCs w:val="24"/>
        </w:rPr>
        <w:t xml:space="preserve"> </w:t>
      </w:r>
      <w:proofErr w:type="gramStart"/>
      <w:r w:rsidRPr="00E008AE">
        <w:rPr>
          <w:rFonts w:ascii="Times New Roman" w:eastAsia="Times New Roman" w:hAnsi="Times New Roman" w:cs="Times New Roman"/>
          <w:sz w:val="24"/>
          <w:szCs w:val="24"/>
        </w:rPr>
        <w:t>2021;17:67</w:t>
      </w:r>
      <w:proofErr w:type="gramEnd"/>
      <w:r w:rsidRPr="00E008AE">
        <w:rPr>
          <w:rFonts w:ascii="Times New Roman" w:eastAsia="Times New Roman" w:hAnsi="Times New Roman" w:cs="Times New Roman"/>
          <w:sz w:val="24"/>
          <w:szCs w:val="24"/>
        </w:rPr>
        <w:t>-74. DOI: 10.4244/EIJ-D-20-00975</w:t>
      </w:r>
    </w:p>
    <w:p w14:paraId="2420461B" w14:textId="77777777" w:rsidR="00E008AE" w:rsidRPr="00E008AE" w:rsidRDefault="00E008AE" w:rsidP="00E008AE">
      <w:pPr>
        <w:spacing w:after="0" w:line="240" w:lineRule="auto"/>
        <w:rPr>
          <w:rFonts w:ascii="Times New Roman" w:eastAsia="Times New Roman" w:hAnsi="Times New Roman" w:cs="Times New Roman"/>
          <w:sz w:val="24"/>
          <w:szCs w:val="24"/>
        </w:rPr>
      </w:pPr>
      <w:r w:rsidRPr="00E008AE">
        <w:rPr>
          <w:rFonts w:ascii="Times New Roman" w:eastAsia="Times New Roman" w:hAnsi="Times New Roman" w:cs="Times New Roman"/>
          <w:noProof/>
          <w:color w:val="0000FF"/>
          <w:sz w:val="24"/>
          <w:szCs w:val="24"/>
        </w:rPr>
        <w:drawing>
          <wp:inline distT="0" distB="0" distL="0" distR="0" wp14:anchorId="632EB852" wp14:editId="12622092">
            <wp:extent cx="1219200" cy="1219200"/>
            <wp:effectExtent l="0" t="0" r="0" b="0"/>
            <wp:docPr id="8" name="Picture 8" descr="Adam de Belder">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dam de Belder">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052E40D8" w14:textId="77777777" w:rsidR="00E008AE" w:rsidRPr="00E008AE" w:rsidRDefault="00E008AE" w:rsidP="00E008AE">
      <w:pPr>
        <w:spacing w:after="0" w:line="240" w:lineRule="auto"/>
        <w:rPr>
          <w:rFonts w:ascii="Times New Roman" w:eastAsia="Times New Roman" w:hAnsi="Times New Roman" w:cs="Times New Roman"/>
          <w:sz w:val="24"/>
          <w:szCs w:val="24"/>
        </w:rPr>
      </w:pPr>
      <w:r w:rsidRPr="00E008AE">
        <w:rPr>
          <w:rFonts w:ascii="Times New Roman" w:eastAsia="Times New Roman" w:hAnsi="Times New Roman" w:cs="Times New Roman"/>
          <w:sz w:val="24"/>
          <w:szCs w:val="24"/>
        </w:rPr>
        <w:t>Adam de Belder</w:t>
      </w:r>
      <w:r w:rsidRPr="00E008AE">
        <w:rPr>
          <w:rFonts w:ascii="Times New Roman" w:eastAsia="Times New Roman" w:hAnsi="Times New Roman" w:cs="Times New Roman"/>
          <w:sz w:val="24"/>
          <w:szCs w:val="24"/>
          <w:vertAlign w:val="superscript"/>
        </w:rPr>
        <w:t>1</w:t>
      </w:r>
      <w:r w:rsidRPr="00E008AE">
        <w:rPr>
          <w:rFonts w:ascii="Times New Roman" w:eastAsia="Times New Roman" w:hAnsi="Times New Roman" w:cs="Times New Roman"/>
          <w:sz w:val="24"/>
          <w:szCs w:val="24"/>
        </w:rPr>
        <w:t>, MD; Aung Myat</w:t>
      </w:r>
      <w:r w:rsidRPr="00E008AE">
        <w:rPr>
          <w:rFonts w:ascii="Times New Roman" w:eastAsia="Times New Roman" w:hAnsi="Times New Roman" w:cs="Times New Roman"/>
          <w:sz w:val="24"/>
          <w:szCs w:val="24"/>
          <w:vertAlign w:val="superscript"/>
        </w:rPr>
        <w:t>1,2</w:t>
      </w:r>
      <w:r w:rsidRPr="00E008AE">
        <w:rPr>
          <w:rFonts w:ascii="Times New Roman" w:eastAsia="Times New Roman" w:hAnsi="Times New Roman" w:cs="Times New Roman"/>
          <w:sz w:val="24"/>
          <w:szCs w:val="24"/>
        </w:rPr>
        <w:t>, MD; Jonathan Blaxill</w:t>
      </w:r>
      <w:r w:rsidRPr="00E008AE">
        <w:rPr>
          <w:rFonts w:ascii="Times New Roman" w:eastAsia="Times New Roman" w:hAnsi="Times New Roman" w:cs="Times New Roman"/>
          <w:sz w:val="24"/>
          <w:szCs w:val="24"/>
          <w:vertAlign w:val="superscript"/>
        </w:rPr>
        <w:t>3</w:t>
      </w:r>
      <w:r w:rsidRPr="00E008AE">
        <w:rPr>
          <w:rFonts w:ascii="Times New Roman" w:eastAsia="Times New Roman" w:hAnsi="Times New Roman" w:cs="Times New Roman"/>
          <w:sz w:val="24"/>
          <w:szCs w:val="24"/>
        </w:rPr>
        <w:t>, MRCP; Peter Haworth</w:t>
      </w:r>
      <w:r w:rsidRPr="00E008AE">
        <w:rPr>
          <w:rFonts w:ascii="Times New Roman" w:eastAsia="Times New Roman" w:hAnsi="Times New Roman" w:cs="Times New Roman"/>
          <w:sz w:val="24"/>
          <w:szCs w:val="24"/>
          <w:vertAlign w:val="superscript"/>
        </w:rPr>
        <w:t>4</w:t>
      </w:r>
      <w:r w:rsidRPr="00E008AE">
        <w:rPr>
          <w:rFonts w:ascii="Times New Roman" w:eastAsia="Times New Roman" w:hAnsi="Times New Roman" w:cs="Times New Roman"/>
          <w:sz w:val="24"/>
          <w:szCs w:val="24"/>
        </w:rPr>
        <w:t>, MRCP; Peter D. O'Kane</w:t>
      </w:r>
      <w:r w:rsidRPr="00E008AE">
        <w:rPr>
          <w:rFonts w:ascii="Times New Roman" w:eastAsia="Times New Roman" w:hAnsi="Times New Roman" w:cs="Times New Roman"/>
          <w:sz w:val="24"/>
          <w:szCs w:val="24"/>
          <w:vertAlign w:val="superscript"/>
        </w:rPr>
        <w:t>5</w:t>
      </w:r>
      <w:r w:rsidRPr="00E008AE">
        <w:rPr>
          <w:rFonts w:ascii="Times New Roman" w:eastAsia="Times New Roman" w:hAnsi="Times New Roman" w:cs="Times New Roman"/>
          <w:sz w:val="24"/>
          <w:szCs w:val="24"/>
        </w:rPr>
        <w:t>, MD; Robert Hatrick</w:t>
      </w:r>
      <w:r w:rsidRPr="00E008AE">
        <w:rPr>
          <w:rFonts w:ascii="Times New Roman" w:eastAsia="Times New Roman" w:hAnsi="Times New Roman" w:cs="Times New Roman"/>
          <w:sz w:val="24"/>
          <w:szCs w:val="24"/>
          <w:vertAlign w:val="superscript"/>
        </w:rPr>
        <w:t>6</w:t>
      </w:r>
      <w:r w:rsidRPr="00E008AE">
        <w:rPr>
          <w:rFonts w:ascii="Times New Roman" w:eastAsia="Times New Roman" w:hAnsi="Times New Roman" w:cs="Times New Roman"/>
          <w:sz w:val="24"/>
          <w:szCs w:val="24"/>
        </w:rPr>
        <w:t>, MD; Rajesh K. Aggarwal</w:t>
      </w:r>
      <w:r w:rsidRPr="00E008AE">
        <w:rPr>
          <w:rFonts w:ascii="Times New Roman" w:eastAsia="Times New Roman" w:hAnsi="Times New Roman" w:cs="Times New Roman"/>
          <w:sz w:val="24"/>
          <w:szCs w:val="24"/>
          <w:vertAlign w:val="superscript"/>
        </w:rPr>
        <w:t>7</w:t>
      </w:r>
      <w:r w:rsidRPr="00E008AE">
        <w:rPr>
          <w:rFonts w:ascii="Times New Roman" w:eastAsia="Times New Roman" w:hAnsi="Times New Roman" w:cs="Times New Roman"/>
          <w:sz w:val="24"/>
          <w:szCs w:val="24"/>
        </w:rPr>
        <w:t>, MD; Andrew Davie</w:t>
      </w:r>
      <w:r w:rsidRPr="00E008AE">
        <w:rPr>
          <w:rFonts w:ascii="Times New Roman" w:eastAsia="Times New Roman" w:hAnsi="Times New Roman" w:cs="Times New Roman"/>
          <w:sz w:val="24"/>
          <w:szCs w:val="24"/>
          <w:vertAlign w:val="superscript"/>
        </w:rPr>
        <w:t>8</w:t>
      </w:r>
      <w:r w:rsidRPr="00E008AE">
        <w:rPr>
          <w:rFonts w:ascii="Times New Roman" w:eastAsia="Times New Roman" w:hAnsi="Times New Roman" w:cs="Times New Roman"/>
          <w:sz w:val="24"/>
          <w:szCs w:val="24"/>
        </w:rPr>
        <w:t>, MD; William Smith</w:t>
      </w:r>
      <w:r w:rsidRPr="00E008AE">
        <w:rPr>
          <w:rFonts w:ascii="Times New Roman" w:eastAsia="Times New Roman" w:hAnsi="Times New Roman" w:cs="Times New Roman"/>
          <w:sz w:val="24"/>
          <w:szCs w:val="24"/>
          <w:vertAlign w:val="superscript"/>
        </w:rPr>
        <w:t>9</w:t>
      </w:r>
      <w:r w:rsidRPr="00E008AE">
        <w:rPr>
          <w:rFonts w:ascii="Times New Roman" w:eastAsia="Times New Roman" w:hAnsi="Times New Roman" w:cs="Times New Roman"/>
          <w:sz w:val="24"/>
          <w:szCs w:val="24"/>
        </w:rPr>
        <w:t>, PhD; Robert Gerber</w:t>
      </w:r>
      <w:r w:rsidRPr="00E008AE">
        <w:rPr>
          <w:rFonts w:ascii="Times New Roman" w:eastAsia="Times New Roman" w:hAnsi="Times New Roman" w:cs="Times New Roman"/>
          <w:sz w:val="24"/>
          <w:szCs w:val="24"/>
          <w:vertAlign w:val="superscript"/>
        </w:rPr>
        <w:t>10</w:t>
      </w:r>
      <w:r w:rsidRPr="00E008AE">
        <w:rPr>
          <w:rFonts w:ascii="Times New Roman" w:eastAsia="Times New Roman" w:hAnsi="Times New Roman" w:cs="Times New Roman"/>
          <w:sz w:val="24"/>
          <w:szCs w:val="24"/>
        </w:rPr>
        <w:t>, PhD; Jonathan Byrne</w:t>
      </w:r>
      <w:r w:rsidRPr="00E008AE">
        <w:rPr>
          <w:rFonts w:ascii="Times New Roman" w:eastAsia="Times New Roman" w:hAnsi="Times New Roman" w:cs="Times New Roman"/>
          <w:sz w:val="24"/>
          <w:szCs w:val="24"/>
          <w:vertAlign w:val="superscript"/>
        </w:rPr>
        <w:t>11</w:t>
      </w:r>
      <w:r w:rsidRPr="00E008AE">
        <w:rPr>
          <w:rFonts w:ascii="Times New Roman" w:eastAsia="Times New Roman" w:hAnsi="Times New Roman" w:cs="Times New Roman"/>
          <w:sz w:val="24"/>
          <w:szCs w:val="24"/>
        </w:rPr>
        <w:t>, MD; Dawn Adamson</w:t>
      </w:r>
      <w:r w:rsidRPr="00E008AE">
        <w:rPr>
          <w:rFonts w:ascii="Times New Roman" w:eastAsia="Times New Roman" w:hAnsi="Times New Roman" w:cs="Times New Roman"/>
          <w:sz w:val="24"/>
          <w:szCs w:val="24"/>
          <w:vertAlign w:val="superscript"/>
        </w:rPr>
        <w:t>12</w:t>
      </w:r>
      <w:r w:rsidRPr="00E008AE">
        <w:rPr>
          <w:rFonts w:ascii="Times New Roman" w:eastAsia="Times New Roman" w:hAnsi="Times New Roman" w:cs="Times New Roman"/>
          <w:sz w:val="24"/>
          <w:szCs w:val="24"/>
        </w:rPr>
        <w:t>, PhD; Fraser Witherow</w:t>
      </w:r>
      <w:r w:rsidRPr="00E008AE">
        <w:rPr>
          <w:rFonts w:ascii="Times New Roman" w:eastAsia="Times New Roman" w:hAnsi="Times New Roman" w:cs="Times New Roman"/>
          <w:sz w:val="24"/>
          <w:szCs w:val="24"/>
          <w:vertAlign w:val="superscript"/>
        </w:rPr>
        <w:t>13</w:t>
      </w:r>
      <w:r w:rsidRPr="00E008AE">
        <w:rPr>
          <w:rFonts w:ascii="Times New Roman" w:eastAsia="Times New Roman" w:hAnsi="Times New Roman" w:cs="Times New Roman"/>
          <w:sz w:val="24"/>
          <w:szCs w:val="24"/>
        </w:rPr>
        <w:t>, MD; Osama Alsanjari</w:t>
      </w:r>
      <w:r w:rsidRPr="00E008AE">
        <w:rPr>
          <w:rFonts w:ascii="Times New Roman" w:eastAsia="Times New Roman" w:hAnsi="Times New Roman" w:cs="Times New Roman"/>
          <w:sz w:val="24"/>
          <w:szCs w:val="24"/>
          <w:vertAlign w:val="superscript"/>
        </w:rPr>
        <w:t>1</w:t>
      </w:r>
      <w:r w:rsidRPr="00E008AE">
        <w:rPr>
          <w:rFonts w:ascii="Times New Roman" w:eastAsia="Times New Roman" w:hAnsi="Times New Roman" w:cs="Times New Roman"/>
          <w:sz w:val="24"/>
          <w:szCs w:val="24"/>
        </w:rPr>
        <w:t>, MRCP; Juliet Wright</w:t>
      </w:r>
      <w:r w:rsidRPr="00E008AE">
        <w:rPr>
          <w:rFonts w:ascii="Times New Roman" w:eastAsia="Times New Roman" w:hAnsi="Times New Roman" w:cs="Times New Roman"/>
          <w:sz w:val="24"/>
          <w:szCs w:val="24"/>
          <w:vertAlign w:val="superscript"/>
        </w:rPr>
        <w:t>2</w:t>
      </w:r>
      <w:r w:rsidRPr="00E008AE">
        <w:rPr>
          <w:rFonts w:ascii="Times New Roman" w:eastAsia="Times New Roman" w:hAnsi="Times New Roman" w:cs="Times New Roman"/>
          <w:sz w:val="24"/>
          <w:szCs w:val="24"/>
        </w:rPr>
        <w:t>, MD; Derek R. Robinson</w:t>
      </w:r>
      <w:r w:rsidRPr="00E008AE">
        <w:rPr>
          <w:rFonts w:ascii="Times New Roman" w:eastAsia="Times New Roman" w:hAnsi="Times New Roman" w:cs="Times New Roman"/>
          <w:sz w:val="24"/>
          <w:szCs w:val="24"/>
          <w:vertAlign w:val="superscript"/>
        </w:rPr>
        <w:t>14</w:t>
      </w:r>
      <w:r w:rsidRPr="00E008AE">
        <w:rPr>
          <w:rFonts w:ascii="Times New Roman" w:eastAsia="Times New Roman" w:hAnsi="Times New Roman" w:cs="Times New Roman"/>
          <w:sz w:val="24"/>
          <w:szCs w:val="24"/>
        </w:rPr>
        <w:t>, DPhil; David Hildick-Smith</w:t>
      </w:r>
      <w:r w:rsidRPr="00E008AE">
        <w:rPr>
          <w:rFonts w:ascii="Times New Roman" w:eastAsia="Times New Roman" w:hAnsi="Times New Roman" w:cs="Times New Roman"/>
          <w:sz w:val="24"/>
          <w:szCs w:val="24"/>
          <w:vertAlign w:val="superscript"/>
        </w:rPr>
        <w:t>1</w:t>
      </w:r>
      <w:r w:rsidRPr="00E008AE">
        <w:rPr>
          <w:rFonts w:ascii="Times New Roman" w:eastAsia="Times New Roman" w:hAnsi="Times New Roman" w:cs="Times New Roman"/>
          <w:sz w:val="24"/>
          <w:szCs w:val="24"/>
        </w:rPr>
        <w:t>, MD</w:t>
      </w:r>
    </w:p>
    <w:p w14:paraId="5A7A5970" w14:textId="77777777" w:rsidR="00E008AE" w:rsidRPr="00E008AE" w:rsidRDefault="00E008AE" w:rsidP="00E008AE">
      <w:pPr>
        <w:spacing w:after="0" w:line="240" w:lineRule="auto"/>
        <w:rPr>
          <w:rFonts w:ascii="Times New Roman" w:eastAsia="Times New Roman" w:hAnsi="Times New Roman" w:cs="Times New Roman"/>
          <w:sz w:val="24"/>
          <w:szCs w:val="24"/>
        </w:rPr>
      </w:pPr>
      <w:r w:rsidRPr="00E008AE">
        <w:rPr>
          <w:rFonts w:ascii="Times New Roman" w:eastAsia="Times New Roman" w:hAnsi="Times New Roman" w:cs="Times New Roman"/>
          <w:sz w:val="24"/>
          <w:szCs w:val="24"/>
        </w:rPr>
        <w:t xml:space="preserve">1. Sussex Cardiac Centre, Brighton, United Kingdom; 2. Brighton and Sussex Medical School, Brighton, United Kingdom; 3. Leeds Teaching Hospitals NHS Trust, Leeds, United Kingdom; 4. Portsmouth Hospitals NHS Trust, Portsmouth, United Kingdom; 5. The Royal Bournemouth and Christchurch Hospitals NHS Foundation Trust, Bournemouth, United Kingdom; 6. Western Sussex Hospitals NHS Foundation Trust, </w:t>
      </w:r>
      <w:proofErr w:type="spellStart"/>
      <w:r w:rsidRPr="00E008AE">
        <w:rPr>
          <w:rFonts w:ascii="Times New Roman" w:eastAsia="Times New Roman" w:hAnsi="Times New Roman" w:cs="Times New Roman"/>
          <w:sz w:val="24"/>
          <w:szCs w:val="24"/>
        </w:rPr>
        <w:t>Worthing</w:t>
      </w:r>
      <w:proofErr w:type="spellEnd"/>
      <w:r w:rsidRPr="00E008AE">
        <w:rPr>
          <w:rFonts w:ascii="Times New Roman" w:eastAsia="Times New Roman" w:hAnsi="Times New Roman" w:cs="Times New Roman"/>
          <w:sz w:val="24"/>
          <w:szCs w:val="24"/>
        </w:rPr>
        <w:t xml:space="preserve">, United Kingdom; 7. Essex Cardiothoracic Centre, </w:t>
      </w:r>
      <w:proofErr w:type="spellStart"/>
      <w:r w:rsidRPr="00E008AE">
        <w:rPr>
          <w:rFonts w:ascii="Times New Roman" w:eastAsia="Times New Roman" w:hAnsi="Times New Roman" w:cs="Times New Roman"/>
          <w:sz w:val="24"/>
          <w:szCs w:val="24"/>
        </w:rPr>
        <w:t>Basildon</w:t>
      </w:r>
      <w:proofErr w:type="spellEnd"/>
      <w:r w:rsidRPr="00E008AE">
        <w:rPr>
          <w:rFonts w:ascii="Times New Roman" w:eastAsia="Times New Roman" w:hAnsi="Times New Roman" w:cs="Times New Roman"/>
          <w:sz w:val="24"/>
          <w:szCs w:val="24"/>
        </w:rPr>
        <w:t>, United Kingdom; 8. Golden Jubilee National Hospital and Queen Elizabeth University Hospital, Glasgow, United Kingdom; 9. Trent Cardiac Centre, Nottingham, United Kingdom; 10. East Sussex Healthcare NHS Trust, Hastings, United Kingdom; 11. King’s College Hospital NHS Foundation Trust, London, United Kingdom; 12. University Hospitals Coventry and Warwickshire NHS Trust, Coventry, United Kingdom; 13. Dorset County Hospital NHS Foundation Trust, Dorchester, United Kingdom; 14. University of Sussex, Brighton, United Kingdom</w:t>
      </w:r>
    </w:p>
    <w:p w14:paraId="22C5F5A8" w14:textId="77777777" w:rsidR="00E008AE" w:rsidRPr="00E008AE" w:rsidRDefault="00E008AE" w:rsidP="00E008AE">
      <w:pPr>
        <w:spacing w:before="100" w:beforeAutospacing="1" w:after="100" w:afterAutospacing="1" w:line="240" w:lineRule="auto"/>
        <w:rPr>
          <w:rFonts w:ascii="Times New Roman" w:eastAsia="Times New Roman" w:hAnsi="Times New Roman" w:cs="Times New Roman"/>
          <w:sz w:val="24"/>
          <w:szCs w:val="24"/>
        </w:rPr>
      </w:pPr>
      <w:r w:rsidRPr="00E008AE">
        <w:rPr>
          <w:rFonts w:ascii="Times New Roman" w:eastAsia="Times New Roman" w:hAnsi="Times New Roman" w:cs="Times New Roman"/>
          <w:b/>
          <w:bCs/>
          <w:sz w:val="24"/>
          <w:szCs w:val="24"/>
        </w:rPr>
        <w:t>Background:</w:t>
      </w:r>
      <w:r w:rsidRPr="00E008AE">
        <w:rPr>
          <w:rFonts w:ascii="Times New Roman" w:eastAsia="Times New Roman" w:hAnsi="Times New Roman" w:cs="Times New Roman"/>
          <w:sz w:val="24"/>
          <w:szCs w:val="24"/>
        </w:rPr>
        <w:t xml:space="preserve"> Historically the elderly </w:t>
      </w:r>
      <w:proofErr w:type="gramStart"/>
      <w:r w:rsidRPr="00E008AE">
        <w:rPr>
          <w:rFonts w:ascii="Times New Roman" w:eastAsia="Times New Roman" w:hAnsi="Times New Roman" w:cs="Times New Roman"/>
          <w:sz w:val="24"/>
          <w:szCs w:val="24"/>
        </w:rPr>
        <w:t>have</w:t>
      </w:r>
      <w:proofErr w:type="gramEnd"/>
      <w:r w:rsidRPr="00E008AE">
        <w:rPr>
          <w:rFonts w:ascii="Times New Roman" w:eastAsia="Times New Roman" w:hAnsi="Times New Roman" w:cs="Times New Roman"/>
          <w:sz w:val="24"/>
          <w:szCs w:val="24"/>
        </w:rPr>
        <w:t xml:space="preserve"> been under-represented in non-ST-elevation myocardial infarction (NSTEMI) management trials.</w:t>
      </w:r>
    </w:p>
    <w:p w14:paraId="1F6DEAF3" w14:textId="77777777" w:rsidR="00E008AE" w:rsidRPr="00E008AE" w:rsidRDefault="00E008AE" w:rsidP="00E008AE">
      <w:pPr>
        <w:spacing w:before="100" w:beforeAutospacing="1" w:after="100" w:afterAutospacing="1" w:line="240" w:lineRule="auto"/>
        <w:rPr>
          <w:rFonts w:ascii="Times New Roman" w:eastAsia="Times New Roman" w:hAnsi="Times New Roman" w:cs="Times New Roman"/>
          <w:sz w:val="24"/>
          <w:szCs w:val="24"/>
        </w:rPr>
      </w:pPr>
      <w:r w:rsidRPr="00E008AE">
        <w:rPr>
          <w:rFonts w:ascii="Times New Roman" w:eastAsia="Times New Roman" w:hAnsi="Times New Roman" w:cs="Times New Roman"/>
          <w:b/>
          <w:bCs/>
          <w:sz w:val="24"/>
          <w:szCs w:val="24"/>
        </w:rPr>
        <w:t>Aims:</w:t>
      </w:r>
      <w:r w:rsidRPr="00E008AE">
        <w:rPr>
          <w:rFonts w:ascii="Times New Roman" w:eastAsia="Times New Roman" w:hAnsi="Times New Roman" w:cs="Times New Roman"/>
          <w:sz w:val="24"/>
          <w:szCs w:val="24"/>
        </w:rPr>
        <w:t xml:space="preserve"> The aim of this trial was to demonstrate that an intervention-guided strategy is superior to optimal medical therapy (OMT) alone for treating NSTEMI in elderly individuals.</w:t>
      </w:r>
    </w:p>
    <w:p w14:paraId="56DB399A" w14:textId="77777777" w:rsidR="00E008AE" w:rsidRPr="00E008AE" w:rsidRDefault="00E008AE" w:rsidP="00E008AE">
      <w:pPr>
        <w:spacing w:before="100" w:beforeAutospacing="1" w:after="100" w:afterAutospacing="1" w:line="240" w:lineRule="auto"/>
        <w:rPr>
          <w:rFonts w:ascii="Times New Roman" w:eastAsia="Times New Roman" w:hAnsi="Times New Roman" w:cs="Times New Roman"/>
          <w:sz w:val="24"/>
          <w:szCs w:val="24"/>
        </w:rPr>
      </w:pPr>
      <w:r w:rsidRPr="00E008AE">
        <w:rPr>
          <w:rFonts w:ascii="Times New Roman" w:eastAsia="Times New Roman" w:hAnsi="Times New Roman" w:cs="Times New Roman"/>
          <w:b/>
          <w:bCs/>
          <w:sz w:val="24"/>
          <w:szCs w:val="24"/>
        </w:rPr>
        <w:t>Methods:</w:t>
      </w:r>
      <w:r w:rsidRPr="00E008AE">
        <w:rPr>
          <w:rFonts w:ascii="Times New Roman" w:eastAsia="Times New Roman" w:hAnsi="Times New Roman" w:cs="Times New Roman"/>
          <w:sz w:val="24"/>
          <w:szCs w:val="24"/>
        </w:rPr>
        <w:t xml:space="preserve"> Patients (≥80 years, chest pain, </w:t>
      </w:r>
      <w:proofErr w:type="spellStart"/>
      <w:r w:rsidRPr="00E008AE">
        <w:rPr>
          <w:rFonts w:ascii="Times New Roman" w:eastAsia="Times New Roman" w:hAnsi="Times New Roman" w:cs="Times New Roman"/>
          <w:sz w:val="24"/>
          <w:szCs w:val="24"/>
        </w:rPr>
        <w:t>ischaemic</w:t>
      </w:r>
      <w:proofErr w:type="spellEnd"/>
      <w:r w:rsidRPr="00E008AE">
        <w:rPr>
          <w:rFonts w:ascii="Times New Roman" w:eastAsia="Times New Roman" w:hAnsi="Times New Roman" w:cs="Times New Roman"/>
          <w:sz w:val="24"/>
          <w:szCs w:val="24"/>
        </w:rPr>
        <w:t xml:space="preserve"> ECG, and elevated troponin) were </w:t>
      </w:r>
      <w:proofErr w:type="spellStart"/>
      <w:r w:rsidRPr="00E008AE">
        <w:rPr>
          <w:rFonts w:ascii="Times New Roman" w:eastAsia="Times New Roman" w:hAnsi="Times New Roman" w:cs="Times New Roman"/>
          <w:sz w:val="24"/>
          <w:szCs w:val="24"/>
        </w:rPr>
        <w:t>randomised</w:t>
      </w:r>
      <w:proofErr w:type="spellEnd"/>
      <w:r w:rsidRPr="00E008AE">
        <w:rPr>
          <w:rFonts w:ascii="Times New Roman" w:eastAsia="Times New Roman" w:hAnsi="Times New Roman" w:cs="Times New Roman"/>
          <w:sz w:val="24"/>
          <w:szCs w:val="24"/>
        </w:rPr>
        <w:t xml:space="preserve"> 1:1 to an intervention-guided strategy plus OMT versus OMT alone. The primary endpoint was a composite of all-cause mortality and non-fatal myocardial reinfarction at 1 year. Ethics approval was obtained by the institutional review board of every recruiting </w:t>
      </w:r>
      <w:proofErr w:type="spellStart"/>
      <w:r w:rsidRPr="00E008AE">
        <w:rPr>
          <w:rFonts w:ascii="Times New Roman" w:eastAsia="Times New Roman" w:hAnsi="Times New Roman" w:cs="Times New Roman"/>
          <w:sz w:val="24"/>
          <w:szCs w:val="24"/>
        </w:rPr>
        <w:t>centre</w:t>
      </w:r>
      <w:proofErr w:type="spellEnd"/>
      <w:r w:rsidRPr="00E008AE">
        <w:rPr>
          <w:rFonts w:ascii="Times New Roman" w:eastAsia="Times New Roman" w:hAnsi="Times New Roman" w:cs="Times New Roman"/>
          <w:sz w:val="24"/>
          <w:szCs w:val="24"/>
        </w:rPr>
        <w:t>.</w:t>
      </w:r>
    </w:p>
    <w:p w14:paraId="333DB42B" w14:textId="77777777" w:rsidR="00E008AE" w:rsidRPr="00E008AE" w:rsidRDefault="00E008AE" w:rsidP="00E008AE">
      <w:pPr>
        <w:spacing w:before="100" w:beforeAutospacing="1" w:after="100" w:afterAutospacing="1" w:line="240" w:lineRule="auto"/>
        <w:rPr>
          <w:rFonts w:ascii="Times New Roman" w:eastAsia="Times New Roman" w:hAnsi="Times New Roman" w:cs="Times New Roman"/>
          <w:sz w:val="24"/>
          <w:szCs w:val="24"/>
        </w:rPr>
      </w:pPr>
      <w:r w:rsidRPr="00E008AE">
        <w:rPr>
          <w:rFonts w:ascii="Times New Roman" w:eastAsia="Times New Roman" w:hAnsi="Times New Roman" w:cs="Times New Roman"/>
          <w:b/>
          <w:bCs/>
          <w:sz w:val="24"/>
          <w:szCs w:val="24"/>
        </w:rPr>
        <w:lastRenderedPageBreak/>
        <w:t>Results:</w:t>
      </w:r>
      <w:r w:rsidRPr="00E008AE">
        <w:rPr>
          <w:rFonts w:ascii="Times New Roman" w:eastAsia="Times New Roman" w:hAnsi="Times New Roman" w:cs="Times New Roman"/>
          <w:sz w:val="24"/>
          <w:szCs w:val="24"/>
        </w:rPr>
        <w:t xml:space="preserve"> From May 2014 to September 2018, 251 patients (n=125 invasive vs n=126 conservative) were enrolled. Almost 50% of participants were female. The trial was terminated prematurely due to slow recruitment. A Kaplan-Meier estimate of event-free survival revealed no difference in the primary endpoint at 1 year (invasive 18.5% [23/124] vs conservative 22.2% [28/126]; p=0.39). No significant difference persisted after Cox proportional hazards regression analysis (hazard ratio 0.79, 95% confidence interval 0.45-1.35; p=0.39). There was greater freedom from angina at 3 months (p&lt;0.001) after early intervention but this was similar at 1 year. Both non-fatal reinfarction (invasive 9.7% [12/124] vs conservative 14.3% [18/126]; p=0.22) and unplanned </w:t>
      </w:r>
      <w:proofErr w:type="spellStart"/>
      <w:r w:rsidRPr="00E008AE">
        <w:rPr>
          <w:rFonts w:ascii="Times New Roman" w:eastAsia="Times New Roman" w:hAnsi="Times New Roman" w:cs="Times New Roman"/>
          <w:sz w:val="24"/>
          <w:szCs w:val="24"/>
        </w:rPr>
        <w:t>revascularisation</w:t>
      </w:r>
      <w:proofErr w:type="spellEnd"/>
      <w:r w:rsidRPr="00E008AE">
        <w:rPr>
          <w:rFonts w:ascii="Times New Roman" w:eastAsia="Times New Roman" w:hAnsi="Times New Roman" w:cs="Times New Roman"/>
          <w:sz w:val="24"/>
          <w:szCs w:val="24"/>
        </w:rPr>
        <w:t xml:space="preserve"> (invasive 1.6% [2/124] vs conservative 6.4% [8/126]; p=0.10) occurred more frequently in the OMT alone cohort.</w:t>
      </w:r>
    </w:p>
    <w:p w14:paraId="6135ACB0" w14:textId="77777777" w:rsidR="00E008AE" w:rsidRPr="00E008AE" w:rsidRDefault="00E008AE" w:rsidP="00E008AE">
      <w:pPr>
        <w:spacing w:before="100" w:beforeAutospacing="1" w:after="100" w:afterAutospacing="1" w:line="240" w:lineRule="auto"/>
        <w:rPr>
          <w:rFonts w:ascii="Times New Roman" w:eastAsia="Times New Roman" w:hAnsi="Times New Roman" w:cs="Times New Roman"/>
          <w:sz w:val="24"/>
          <w:szCs w:val="24"/>
        </w:rPr>
      </w:pPr>
      <w:r w:rsidRPr="00E008AE">
        <w:rPr>
          <w:rFonts w:ascii="Times New Roman" w:eastAsia="Times New Roman" w:hAnsi="Times New Roman" w:cs="Times New Roman"/>
          <w:b/>
          <w:bCs/>
          <w:sz w:val="24"/>
          <w:szCs w:val="24"/>
        </w:rPr>
        <w:t>Conclusions:</w:t>
      </w:r>
      <w:r w:rsidRPr="00E008AE">
        <w:rPr>
          <w:rFonts w:ascii="Times New Roman" w:eastAsia="Times New Roman" w:hAnsi="Times New Roman" w:cs="Times New Roman"/>
          <w:sz w:val="24"/>
          <w:szCs w:val="24"/>
        </w:rPr>
        <w:t xml:space="preserve"> An intervention-guided strategy was not superior to OMT alone to treat very elderly NSTEMI patients. The trial was underpowered to demonstrate this definitively. Early intervention resulted in fewer cases of reinfarction and unplanned </w:t>
      </w:r>
      <w:proofErr w:type="spellStart"/>
      <w:r w:rsidRPr="00E008AE">
        <w:rPr>
          <w:rFonts w:ascii="Times New Roman" w:eastAsia="Times New Roman" w:hAnsi="Times New Roman" w:cs="Times New Roman"/>
          <w:sz w:val="24"/>
          <w:szCs w:val="24"/>
        </w:rPr>
        <w:t>revascularisation</w:t>
      </w:r>
      <w:proofErr w:type="spellEnd"/>
      <w:r w:rsidRPr="00E008AE">
        <w:rPr>
          <w:rFonts w:ascii="Times New Roman" w:eastAsia="Times New Roman" w:hAnsi="Times New Roman" w:cs="Times New Roman"/>
          <w:sz w:val="24"/>
          <w:szCs w:val="24"/>
        </w:rPr>
        <w:t xml:space="preserve"> but did not improve survival.</w:t>
      </w:r>
    </w:p>
    <w:p w14:paraId="26DAD6E6" w14:textId="77777777" w:rsidR="00C335F9" w:rsidRDefault="00C335F9"/>
    <w:sectPr w:rsidR="00C335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8AE"/>
    <w:rsid w:val="00C335F9"/>
    <w:rsid w:val="00E008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3C7B2"/>
  <w15:chartTrackingRefBased/>
  <w15:docId w15:val="{281435C3-8185-45F9-9A7C-0E958E0C8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3300073">
      <w:bodyDiv w:val="1"/>
      <w:marLeft w:val="0"/>
      <w:marRight w:val="0"/>
      <w:marTop w:val="0"/>
      <w:marBottom w:val="0"/>
      <w:divBdr>
        <w:top w:val="none" w:sz="0" w:space="0" w:color="auto"/>
        <w:left w:val="none" w:sz="0" w:space="0" w:color="auto"/>
        <w:bottom w:val="none" w:sz="0" w:space="0" w:color="auto"/>
        <w:right w:val="none" w:sz="0" w:space="0" w:color="auto"/>
      </w:divBdr>
      <w:divsChild>
        <w:div w:id="1636250217">
          <w:marLeft w:val="0"/>
          <w:marRight w:val="0"/>
          <w:marTop w:val="0"/>
          <w:marBottom w:val="0"/>
          <w:divBdr>
            <w:top w:val="none" w:sz="0" w:space="0" w:color="auto"/>
            <w:left w:val="none" w:sz="0" w:space="0" w:color="auto"/>
            <w:bottom w:val="none" w:sz="0" w:space="0" w:color="auto"/>
            <w:right w:val="none" w:sz="0" w:space="0" w:color="auto"/>
          </w:divBdr>
        </w:div>
        <w:div w:id="54202207">
          <w:marLeft w:val="0"/>
          <w:marRight w:val="0"/>
          <w:marTop w:val="0"/>
          <w:marBottom w:val="0"/>
          <w:divBdr>
            <w:top w:val="none" w:sz="0" w:space="0" w:color="auto"/>
            <w:left w:val="none" w:sz="0" w:space="0" w:color="auto"/>
            <w:bottom w:val="none" w:sz="0" w:space="0" w:color="auto"/>
            <w:right w:val="none" w:sz="0" w:space="0" w:color="auto"/>
          </w:divBdr>
          <w:divsChild>
            <w:div w:id="2025738389">
              <w:marLeft w:val="0"/>
              <w:marRight w:val="0"/>
              <w:marTop w:val="0"/>
              <w:marBottom w:val="0"/>
              <w:divBdr>
                <w:top w:val="none" w:sz="0" w:space="0" w:color="auto"/>
                <w:left w:val="none" w:sz="0" w:space="0" w:color="auto"/>
                <w:bottom w:val="none" w:sz="0" w:space="0" w:color="auto"/>
                <w:right w:val="none" w:sz="0" w:space="0" w:color="auto"/>
              </w:divBdr>
              <w:divsChild>
                <w:div w:id="1029528488">
                  <w:marLeft w:val="0"/>
                  <w:marRight w:val="0"/>
                  <w:marTop w:val="0"/>
                  <w:marBottom w:val="0"/>
                  <w:divBdr>
                    <w:top w:val="none" w:sz="0" w:space="0" w:color="auto"/>
                    <w:left w:val="none" w:sz="0" w:space="0" w:color="auto"/>
                    <w:bottom w:val="none" w:sz="0" w:space="0" w:color="auto"/>
                    <w:right w:val="none" w:sz="0" w:space="0" w:color="auto"/>
                  </w:divBdr>
                  <w:divsChild>
                    <w:div w:id="2023503862">
                      <w:marLeft w:val="0"/>
                      <w:marRight w:val="0"/>
                      <w:marTop w:val="0"/>
                      <w:marBottom w:val="0"/>
                      <w:divBdr>
                        <w:top w:val="none" w:sz="0" w:space="0" w:color="auto"/>
                        <w:left w:val="none" w:sz="0" w:space="0" w:color="auto"/>
                        <w:bottom w:val="none" w:sz="0" w:space="0" w:color="auto"/>
                        <w:right w:val="none" w:sz="0" w:space="0" w:color="auto"/>
                      </w:divBdr>
                    </w:div>
                    <w:div w:id="1675839127">
                      <w:marLeft w:val="0"/>
                      <w:marRight w:val="0"/>
                      <w:marTop w:val="0"/>
                      <w:marBottom w:val="0"/>
                      <w:divBdr>
                        <w:top w:val="none" w:sz="0" w:space="0" w:color="auto"/>
                        <w:left w:val="none" w:sz="0" w:space="0" w:color="auto"/>
                        <w:bottom w:val="none" w:sz="0" w:space="0" w:color="auto"/>
                        <w:right w:val="none" w:sz="0" w:space="0" w:color="auto"/>
                      </w:divBdr>
                    </w:div>
                  </w:divsChild>
                </w:div>
                <w:div w:id="1389300776">
                  <w:marLeft w:val="0"/>
                  <w:marRight w:val="0"/>
                  <w:marTop w:val="0"/>
                  <w:marBottom w:val="0"/>
                  <w:divBdr>
                    <w:top w:val="none" w:sz="0" w:space="0" w:color="auto"/>
                    <w:left w:val="none" w:sz="0" w:space="0" w:color="auto"/>
                    <w:bottom w:val="none" w:sz="0" w:space="0" w:color="auto"/>
                    <w:right w:val="none" w:sz="0" w:space="0" w:color="auto"/>
                  </w:divBdr>
                </w:div>
                <w:div w:id="598563940">
                  <w:marLeft w:val="0"/>
                  <w:marRight w:val="0"/>
                  <w:marTop w:val="0"/>
                  <w:marBottom w:val="0"/>
                  <w:divBdr>
                    <w:top w:val="none" w:sz="0" w:space="0" w:color="auto"/>
                    <w:left w:val="none" w:sz="0" w:space="0" w:color="auto"/>
                    <w:bottom w:val="none" w:sz="0" w:space="0" w:color="auto"/>
                    <w:right w:val="none" w:sz="0" w:space="0" w:color="auto"/>
                  </w:divBdr>
                  <w:divsChild>
                    <w:div w:id="153911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eurointervention.pcronline.com/author/adam-de-bel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507</Words>
  <Characters>2894</Characters>
  <Application>Microsoft Office Word</Application>
  <DocSecurity>0</DocSecurity>
  <Lines>24</Lines>
  <Paragraphs>6</Paragraphs>
  <ScaleCrop>false</ScaleCrop>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dear user</dc:creator>
  <cp:keywords/>
  <dc:description/>
  <cp:lastModifiedBy>dear user</cp:lastModifiedBy>
  <cp:revision>1</cp:revision>
  <dcterms:created xsi:type="dcterms:W3CDTF">2021-05-23T18:28:00Z</dcterms:created>
  <dcterms:modified xsi:type="dcterms:W3CDTF">2021-05-23T18:45:00Z</dcterms:modified>
</cp:coreProperties>
</file>