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18F9A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001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Mechanism of Elevated Cardiac Troponin in Acute Ischemic Stroke</w:t>
      </w:r>
    </w:p>
    <w:p w14:paraId="68BEC43C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b/>
          <w:bCs/>
          <w:sz w:val="24"/>
          <w:szCs w:val="24"/>
        </w:rPr>
        <w:t>Mar 09, 2016</w:t>
      </w:r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7B21F6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Share via: </w:t>
      </w:r>
    </w:p>
    <w:p w14:paraId="03D2D75A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AddThis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Sharing Buttons</w:t>
      </w:r>
    </w:p>
    <w:p w14:paraId="4A9C4A46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Share to Facebook</w:t>
      </w:r>
    </w:p>
    <w:p w14:paraId="68DA2A35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Share to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TwitterShare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LinkedInShare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EmailShare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to More </w:t>
      </w:r>
    </w:p>
    <w:p w14:paraId="149217BC" w14:textId="77777777" w:rsidR="00C00154" w:rsidRPr="00C00154" w:rsidRDefault="00C00154" w:rsidP="00C001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A55107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Font Size</w:t>
      </w:r>
    </w:p>
    <w:p w14:paraId="38224931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165EB9DD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4B0D1DB0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5138D0F0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Authors:</w:t>
      </w:r>
    </w:p>
    <w:p w14:paraId="0BB46587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Mochmann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HC,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Scheitz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JF,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Petzold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GC, et al., on behalf of the TRELAS Study Group. </w:t>
      </w:r>
    </w:p>
    <w:p w14:paraId="22A79375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Citation:</w:t>
      </w:r>
    </w:p>
    <w:p w14:paraId="11D0B7D0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blank" w:history="1"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Coronary Angiographic Findings in Acute Ischemic Stroke Patients </w:t>
        </w:r>
        <w:proofErr w:type="gramStart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With</w:t>
        </w:r>
        <w:proofErr w:type="gramEnd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Elevated Cardiac Troponin: The </w:t>
        </w:r>
        <w:proofErr w:type="spellStart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TRoponin</w:t>
        </w:r>
        <w:proofErr w:type="spellEnd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ELevation</w:t>
        </w:r>
        <w:proofErr w:type="spellEnd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in Acute Ischemic Stroke (TRELAS) Study. </w:t>
        </w:r>
        <w:r w:rsidRPr="00C0015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Circulation</w:t>
        </w:r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gramStart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2016;Mar</w:t>
        </w:r>
        <w:proofErr w:type="gramEnd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1:[</w:t>
        </w:r>
        <w:proofErr w:type="spellStart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Epub</w:t>
        </w:r>
        <w:proofErr w:type="spellEnd"/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ahead of print].</w:t>
        </w:r>
      </w:hyperlink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2864E8" w14:textId="77777777" w:rsidR="00C00154" w:rsidRPr="00C00154" w:rsidRDefault="00C00154" w:rsidP="00C00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Summary By:</w:t>
      </w:r>
    </w:p>
    <w:p w14:paraId="1BB3D08E" w14:textId="77777777" w:rsidR="00C00154" w:rsidRPr="00C00154" w:rsidRDefault="00C00154" w:rsidP="00C001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C001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Prashant Vaishnava, MD</w:t>
        </w:r>
      </w:hyperlink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549ADF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00154">
        <w:rPr>
          <w:rFonts w:ascii="Times New Roman" w:eastAsia="Times New Roman" w:hAnsi="Times New Roman" w:cs="Times New Roman"/>
          <w:b/>
          <w:bCs/>
          <w:sz w:val="36"/>
          <w:szCs w:val="36"/>
        </w:rPr>
        <w:t>Study Questions:</w:t>
      </w:r>
    </w:p>
    <w:p w14:paraId="34C63B33" w14:textId="77777777" w:rsidR="00C00154" w:rsidRPr="00C00154" w:rsidRDefault="00C00154" w:rsidP="00C0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What is the coronary vessel status in acute ischemic stroke (AIS) patients with elevated cardiac troponin (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), compared to patients presenting with non-ST-elevation acute coronary syndrome (NSTE-ACS)? </w:t>
      </w:r>
    </w:p>
    <w:p w14:paraId="33D9D35E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00154">
        <w:rPr>
          <w:rFonts w:ascii="Times New Roman" w:eastAsia="Times New Roman" w:hAnsi="Times New Roman" w:cs="Times New Roman"/>
          <w:b/>
          <w:bCs/>
          <w:sz w:val="36"/>
          <w:szCs w:val="36"/>
        </w:rPr>
        <w:t>Methods:</w:t>
      </w:r>
    </w:p>
    <w:p w14:paraId="468E8DB2" w14:textId="77777777" w:rsidR="00C00154" w:rsidRPr="00C00154" w:rsidRDefault="00C00154" w:rsidP="00C0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>TRELAS (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TRoponin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ELevation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in Acute ischemic Stroke) was a prospective, observational study with blinded endpoint assessment of AIS patients presenting within 72 hours after symptom onset. AIS was defined as a sudden neurological deficit caused by cerebral ischemia, as confirmed by neuroimaging. Patients with elevated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levels (&gt;50 ng/L) on presentation or during the following day underwent diagnostic coronary angiography within 72 hours. Patients with impaired kidney function (creatinine &gt;1.20 mg/dl) were excluded. Twenty-nine AIS patients underwent conventional angiography and were compared to age- and gender-matched patients with NSTE-ACS. The primary outcome was the presence of a coronary culprit lesion on diagnostic coronary angiography.</w:t>
      </w:r>
    </w:p>
    <w:p w14:paraId="65DEC99E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00154">
        <w:rPr>
          <w:rFonts w:ascii="Times New Roman" w:eastAsia="Times New Roman" w:hAnsi="Times New Roman" w:cs="Times New Roman"/>
          <w:b/>
          <w:bCs/>
          <w:sz w:val="36"/>
          <w:szCs w:val="36"/>
        </w:rPr>
        <w:t>Results:</w:t>
      </w:r>
    </w:p>
    <w:p w14:paraId="2EE99814" w14:textId="77777777" w:rsidR="00C00154" w:rsidRPr="00C00154" w:rsidRDefault="00C00154" w:rsidP="00C0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Median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on presentation did not differ between patients with AIS or NSTE-ACS. Compared to patients with NSTE-ACS, AIS patients were less likely to have coronary culprit lesions (7/29 vs. 23/29, p &lt; 0.001) or any obstructive coronary artery disease (15/29 vs. 25/29, p = 0.02). Angioplasty with stenting of the culprit lesion was performed in the same session in three AIS patients. In three other AIS patients, a staged intervention after neurological rehabilitation was recommended. In contrast, 20 patients with NSTE-ACS received immediate revascularization and three underwent coronary artery bypass graft surgery. </w:t>
      </w:r>
    </w:p>
    <w:p w14:paraId="527BFD66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00154">
        <w:rPr>
          <w:rFonts w:ascii="Times New Roman" w:eastAsia="Times New Roman" w:hAnsi="Times New Roman" w:cs="Times New Roman"/>
          <w:b/>
          <w:bCs/>
          <w:sz w:val="36"/>
          <w:szCs w:val="36"/>
        </w:rPr>
        <w:t>Conclusions:</w:t>
      </w:r>
    </w:p>
    <w:p w14:paraId="79B50C7D" w14:textId="77777777" w:rsidR="00C00154" w:rsidRPr="00C00154" w:rsidRDefault="00C00154" w:rsidP="00C0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Despite similar baseline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levels, coronary culprit lesions are significantly less frequent in AIS patients compared to age- and gender-matched patients with NSTE-ACS.</w:t>
      </w:r>
    </w:p>
    <w:p w14:paraId="31AD20D4" w14:textId="77777777" w:rsidR="00C00154" w:rsidRPr="00C00154" w:rsidRDefault="00C00154" w:rsidP="00C001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00154">
        <w:rPr>
          <w:rFonts w:ascii="Times New Roman" w:eastAsia="Times New Roman" w:hAnsi="Times New Roman" w:cs="Times New Roman"/>
          <w:b/>
          <w:bCs/>
          <w:sz w:val="36"/>
          <w:szCs w:val="36"/>
        </w:rPr>
        <w:t>Perspective:</w:t>
      </w:r>
    </w:p>
    <w:p w14:paraId="59D143F3" w14:textId="77777777" w:rsidR="00C00154" w:rsidRPr="00C00154" w:rsidRDefault="00C00154" w:rsidP="00C0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This is an important study, albeit limited by a small sample size of 29 AIS patients compared to age- and gender-matched patients with NSTE-ACS, that helps clarify coronary vessel status in AIS patients with elevated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cTn.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Indeed, elevation of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in AIS is a common finding and often presents a dilemma. The majority of AIS patients with elevated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do not have coincident ACS and about 50% of patients do not have evidence of obstructive coronary artery disease. As the authors opine, ‘Clinical conditions provoking coronary demand ischemia (i.e., Type 2 MI) and non-coronary causes are more likely to be the source of </w:t>
      </w:r>
      <w:proofErr w:type="spellStart"/>
      <w:r w:rsidRPr="00C00154">
        <w:rPr>
          <w:rFonts w:ascii="Times New Roman" w:eastAsia="Times New Roman" w:hAnsi="Times New Roman" w:cs="Times New Roman"/>
          <w:sz w:val="24"/>
          <w:szCs w:val="24"/>
        </w:rPr>
        <w:t>cTn</w:t>
      </w:r>
      <w:proofErr w:type="spellEnd"/>
      <w:r w:rsidRPr="00C00154">
        <w:rPr>
          <w:rFonts w:ascii="Times New Roman" w:eastAsia="Times New Roman" w:hAnsi="Times New Roman" w:cs="Times New Roman"/>
          <w:sz w:val="24"/>
          <w:szCs w:val="24"/>
        </w:rPr>
        <w:t xml:space="preserve"> release in the majority of AIS patients.’ </w:t>
      </w:r>
    </w:p>
    <w:p w14:paraId="3EA215B3" w14:textId="77777777" w:rsidR="005B121C" w:rsidRDefault="005B121C"/>
    <w:sectPr w:rsidR="005B1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BD4076"/>
    <w:multiLevelType w:val="multilevel"/>
    <w:tmpl w:val="55F4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54"/>
    <w:rsid w:val="005B121C"/>
    <w:rsid w:val="00C0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C7C2E"/>
  <w15:chartTrackingRefBased/>
  <w15:docId w15:val="{E0997DD9-19E5-485F-9175-1371D7E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7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23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1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87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43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9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c.org/Membership/Person?id=3c7fd00d-3008-4c56-9e25-d81f6197dd83" TargetMode="External"/><Relationship Id="rId5" Type="http://schemas.openxmlformats.org/officeDocument/2006/relationships/hyperlink" Target="http://circ.ahajournals.org/content/early/2016/03/01/CIRCULATIONAHA.115.018547.abstra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</dc:creator>
  <cp:keywords/>
  <dc:description/>
  <cp:lastModifiedBy>dear user</cp:lastModifiedBy>
  <cp:revision>1</cp:revision>
  <dcterms:created xsi:type="dcterms:W3CDTF">2020-11-19T20:50:00Z</dcterms:created>
  <dcterms:modified xsi:type="dcterms:W3CDTF">2020-11-19T20:50:00Z</dcterms:modified>
</cp:coreProperties>
</file>