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6D0660" w14:textId="77777777" w:rsidR="00F061E0" w:rsidRPr="00F061E0" w:rsidRDefault="00F061E0" w:rsidP="00F061E0">
      <w:pPr>
        <w:spacing w:after="0" w:line="240" w:lineRule="auto"/>
        <w:rPr>
          <w:rFonts w:ascii="Times New Roman" w:eastAsia="Times New Roman" w:hAnsi="Times New Roman" w:cs="Times New Roman"/>
          <w:sz w:val="24"/>
          <w:szCs w:val="24"/>
        </w:rPr>
      </w:pPr>
      <w:r w:rsidRPr="00F061E0">
        <w:rPr>
          <w:rFonts w:ascii="Times New Roman" w:eastAsia="Times New Roman" w:hAnsi="Times New Roman" w:cs="Times New Roman"/>
          <w:sz w:val="24"/>
          <w:szCs w:val="24"/>
        </w:rPr>
        <w:fldChar w:fldCharType="begin"/>
      </w:r>
      <w:r w:rsidRPr="00F061E0">
        <w:rPr>
          <w:rFonts w:ascii="Times New Roman" w:eastAsia="Times New Roman" w:hAnsi="Times New Roman" w:cs="Times New Roman"/>
          <w:sz w:val="24"/>
          <w:szCs w:val="24"/>
        </w:rPr>
        <w:instrText xml:space="preserve"> HYPERLINK "https://www.ncbi.nlm.nih.gov/pubmed/26728404" \o "Current treatment options in cardiovascular medicine." </w:instrText>
      </w:r>
      <w:r w:rsidRPr="00F061E0">
        <w:rPr>
          <w:rFonts w:ascii="Times New Roman" w:eastAsia="Times New Roman" w:hAnsi="Times New Roman" w:cs="Times New Roman"/>
          <w:sz w:val="24"/>
          <w:szCs w:val="24"/>
        </w:rPr>
        <w:fldChar w:fldCharType="separate"/>
      </w:r>
      <w:proofErr w:type="spellStart"/>
      <w:r w:rsidRPr="00F061E0">
        <w:rPr>
          <w:rFonts w:ascii="Times New Roman" w:eastAsia="Times New Roman" w:hAnsi="Times New Roman" w:cs="Times New Roman"/>
          <w:color w:val="0000FF"/>
          <w:sz w:val="24"/>
          <w:szCs w:val="24"/>
          <w:u w:val="single"/>
        </w:rPr>
        <w:t>Curr</w:t>
      </w:r>
      <w:proofErr w:type="spellEnd"/>
      <w:r w:rsidRPr="00F061E0">
        <w:rPr>
          <w:rFonts w:ascii="Times New Roman" w:eastAsia="Times New Roman" w:hAnsi="Times New Roman" w:cs="Times New Roman"/>
          <w:color w:val="0000FF"/>
          <w:sz w:val="24"/>
          <w:szCs w:val="24"/>
          <w:u w:val="single"/>
        </w:rPr>
        <w:t xml:space="preserve"> Treat Options Cardiovasc Med.</w:t>
      </w:r>
      <w:r w:rsidRPr="00F061E0">
        <w:rPr>
          <w:rFonts w:ascii="Times New Roman" w:eastAsia="Times New Roman" w:hAnsi="Times New Roman" w:cs="Times New Roman"/>
          <w:sz w:val="24"/>
          <w:szCs w:val="24"/>
        </w:rPr>
        <w:fldChar w:fldCharType="end"/>
      </w:r>
      <w:r w:rsidRPr="00F061E0">
        <w:rPr>
          <w:rFonts w:ascii="Times New Roman" w:eastAsia="Times New Roman" w:hAnsi="Times New Roman" w:cs="Times New Roman"/>
          <w:sz w:val="24"/>
          <w:szCs w:val="24"/>
        </w:rPr>
        <w:t xml:space="preserve"> 2016 Jan;18(1):3. </w:t>
      </w:r>
      <w:proofErr w:type="spellStart"/>
      <w:r w:rsidRPr="00F061E0">
        <w:rPr>
          <w:rFonts w:ascii="Times New Roman" w:eastAsia="Times New Roman" w:hAnsi="Times New Roman" w:cs="Times New Roman"/>
          <w:sz w:val="24"/>
          <w:szCs w:val="24"/>
        </w:rPr>
        <w:t>doi</w:t>
      </w:r>
      <w:proofErr w:type="spellEnd"/>
      <w:r w:rsidRPr="00F061E0">
        <w:rPr>
          <w:rFonts w:ascii="Times New Roman" w:eastAsia="Times New Roman" w:hAnsi="Times New Roman" w:cs="Times New Roman"/>
          <w:sz w:val="24"/>
          <w:szCs w:val="24"/>
        </w:rPr>
        <w:t>: 10.1007/s11936-015-0427-5.</w:t>
      </w:r>
    </w:p>
    <w:p w14:paraId="659A3597" w14:textId="77777777" w:rsidR="00F061E0" w:rsidRPr="00F061E0" w:rsidRDefault="00F061E0" w:rsidP="00F061E0">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061E0">
        <w:rPr>
          <w:rFonts w:ascii="Times New Roman" w:eastAsia="Times New Roman" w:hAnsi="Times New Roman" w:cs="Times New Roman"/>
          <w:b/>
          <w:bCs/>
          <w:kern w:val="36"/>
          <w:sz w:val="48"/>
          <w:szCs w:val="48"/>
        </w:rPr>
        <w:t>Coronary Angiography and Revascularization Prior to Noncardiac Surgery.</w:t>
      </w:r>
    </w:p>
    <w:p w14:paraId="6806BBD8" w14:textId="77777777" w:rsidR="00F061E0" w:rsidRPr="00F061E0" w:rsidRDefault="00F061E0" w:rsidP="00F061E0">
      <w:pPr>
        <w:spacing w:after="0" w:line="240" w:lineRule="auto"/>
        <w:rPr>
          <w:rFonts w:ascii="Times New Roman" w:eastAsia="Times New Roman" w:hAnsi="Times New Roman" w:cs="Times New Roman"/>
          <w:sz w:val="24"/>
          <w:szCs w:val="24"/>
        </w:rPr>
      </w:pPr>
      <w:hyperlink r:id="rId4" w:history="1">
        <w:r w:rsidRPr="00F061E0">
          <w:rPr>
            <w:rFonts w:ascii="Times New Roman" w:eastAsia="Times New Roman" w:hAnsi="Times New Roman" w:cs="Times New Roman"/>
            <w:color w:val="0000FF"/>
            <w:sz w:val="24"/>
            <w:szCs w:val="24"/>
            <w:u w:val="single"/>
          </w:rPr>
          <w:t>Schulman-Marcus J</w:t>
        </w:r>
      </w:hyperlink>
      <w:r w:rsidRPr="00F061E0">
        <w:rPr>
          <w:rFonts w:ascii="Times New Roman" w:eastAsia="Times New Roman" w:hAnsi="Times New Roman" w:cs="Times New Roman"/>
          <w:sz w:val="24"/>
          <w:szCs w:val="24"/>
          <w:vertAlign w:val="superscript"/>
        </w:rPr>
        <w:t>1</w:t>
      </w:r>
      <w:r w:rsidRPr="00F061E0">
        <w:rPr>
          <w:rFonts w:ascii="Times New Roman" w:eastAsia="Times New Roman" w:hAnsi="Times New Roman" w:cs="Times New Roman"/>
          <w:sz w:val="24"/>
          <w:szCs w:val="24"/>
        </w:rPr>
        <w:t xml:space="preserve">, </w:t>
      </w:r>
      <w:hyperlink r:id="rId5" w:history="1">
        <w:proofErr w:type="spellStart"/>
        <w:r w:rsidRPr="00F061E0">
          <w:rPr>
            <w:rFonts w:ascii="Times New Roman" w:eastAsia="Times New Roman" w:hAnsi="Times New Roman" w:cs="Times New Roman"/>
            <w:color w:val="0000FF"/>
            <w:sz w:val="24"/>
            <w:szCs w:val="24"/>
            <w:u w:val="single"/>
          </w:rPr>
          <w:t>Pashun</w:t>
        </w:r>
        <w:proofErr w:type="spellEnd"/>
        <w:r w:rsidRPr="00F061E0">
          <w:rPr>
            <w:rFonts w:ascii="Times New Roman" w:eastAsia="Times New Roman" w:hAnsi="Times New Roman" w:cs="Times New Roman"/>
            <w:color w:val="0000FF"/>
            <w:sz w:val="24"/>
            <w:szCs w:val="24"/>
            <w:u w:val="single"/>
          </w:rPr>
          <w:t xml:space="preserve"> RA</w:t>
        </w:r>
      </w:hyperlink>
      <w:r w:rsidRPr="00F061E0">
        <w:rPr>
          <w:rFonts w:ascii="Times New Roman" w:eastAsia="Times New Roman" w:hAnsi="Times New Roman" w:cs="Times New Roman"/>
          <w:sz w:val="24"/>
          <w:szCs w:val="24"/>
          <w:vertAlign w:val="superscript"/>
        </w:rPr>
        <w:t>2</w:t>
      </w:r>
      <w:r w:rsidRPr="00F061E0">
        <w:rPr>
          <w:rFonts w:ascii="Times New Roman" w:eastAsia="Times New Roman" w:hAnsi="Times New Roman" w:cs="Times New Roman"/>
          <w:sz w:val="24"/>
          <w:szCs w:val="24"/>
        </w:rPr>
        <w:t xml:space="preserve">, </w:t>
      </w:r>
      <w:hyperlink r:id="rId6" w:history="1">
        <w:r w:rsidRPr="00F061E0">
          <w:rPr>
            <w:rFonts w:ascii="Times New Roman" w:eastAsia="Times New Roman" w:hAnsi="Times New Roman" w:cs="Times New Roman"/>
            <w:color w:val="0000FF"/>
            <w:sz w:val="24"/>
            <w:szCs w:val="24"/>
            <w:u w:val="single"/>
          </w:rPr>
          <w:t>Feldman DN</w:t>
        </w:r>
      </w:hyperlink>
      <w:r w:rsidRPr="00F061E0">
        <w:rPr>
          <w:rFonts w:ascii="Times New Roman" w:eastAsia="Times New Roman" w:hAnsi="Times New Roman" w:cs="Times New Roman"/>
          <w:sz w:val="24"/>
          <w:szCs w:val="24"/>
          <w:vertAlign w:val="superscript"/>
        </w:rPr>
        <w:t>3</w:t>
      </w:r>
      <w:r w:rsidRPr="00F061E0">
        <w:rPr>
          <w:rFonts w:ascii="Times New Roman" w:eastAsia="Times New Roman" w:hAnsi="Times New Roman" w:cs="Times New Roman"/>
          <w:sz w:val="24"/>
          <w:szCs w:val="24"/>
        </w:rPr>
        <w:t xml:space="preserve">, </w:t>
      </w:r>
      <w:hyperlink r:id="rId7" w:history="1">
        <w:r w:rsidRPr="00F061E0">
          <w:rPr>
            <w:rFonts w:ascii="Times New Roman" w:eastAsia="Times New Roman" w:hAnsi="Times New Roman" w:cs="Times New Roman"/>
            <w:color w:val="0000FF"/>
            <w:sz w:val="24"/>
            <w:szCs w:val="24"/>
            <w:u w:val="single"/>
          </w:rPr>
          <w:t>Swaminathan RV</w:t>
        </w:r>
      </w:hyperlink>
      <w:r w:rsidRPr="00F061E0">
        <w:rPr>
          <w:rFonts w:ascii="Times New Roman" w:eastAsia="Times New Roman" w:hAnsi="Times New Roman" w:cs="Times New Roman"/>
          <w:sz w:val="24"/>
          <w:szCs w:val="24"/>
          <w:vertAlign w:val="superscript"/>
        </w:rPr>
        <w:t>4</w:t>
      </w:r>
      <w:r w:rsidRPr="00F061E0">
        <w:rPr>
          <w:rFonts w:ascii="Times New Roman" w:eastAsia="Times New Roman" w:hAnsi="Times New Roman" w:cs="Times New Roman"/>
          <w:sz w:val="24"/>
          <w:szCs w:val="24"/>
        </w:rPr>
        <w:t>.</w:t>
      </w:r>
    </w:p>
    <w:p w14:paraId="5C0B2969" w14:textId="77777777" w:rsidR="00F061E0" w:rsidRPr="00F061E0" w:rsidRDefault="00F061E0" w:rsidP="00F061E0">
      <w:pPr>
        <w:spacing w:after="0" w:line="240" w:lineRule="auto"/>
        <w:rPr>
          <w:rFonts w:ascii="Times New Roman" w:eastAsia="Times New Roman" w:hAnsi="Times New Roman" w:cs="Times New Roman"/>
          <w:sz w:val="24"/>
          <w:szCs w:val="24"/>
        </w:rPr>
      </w:pPr>
      <w:r w:rsidRPr="00F061E0">
        <w:rPr>
          <w:rFonts w:ascii="Times New Roman" w:eastAsia="Times New Roman" w:hAnsi="Times New Roman" w:cs="Times New Roman"/>
          <w:sz w:val="24"/>
          <w:szCs w:val="24"/>
        </w:rPr>
        <w:t>1</w:t>
      </w:r>
    </w:p>
    <w:p w14:paraId="6CF33F0F" w14:textId="77777777" w:rsidR="00F061E0" w:rsidRPr="00F061E0" w:rsidRDefault="00F061E0" w:rsidP="00F061E0">
      <w:pPr>
        <w:spacing w:before="100" w:beforeAutospacing="1" w:after="100" w:afterAutospacing="1" w:line="240" w:lineRule="auto"/>
        <w:outlineLvl w:val="2"/>
        <w:rPr>
          <w:rFonts w:ascii="Times New Roman" w:eastAsia="Times New Roman" w:hAnsi="Times New Roman" w:cs="Times New Roman"/>
          <w:b/>
          <w:bCs/>
          <w:sz w:val="27"/>
          <w:szCs w:val="27"/>
        </w:rPr>
      </w:pPr>
      <w:bookmarkStart w:id="0" w:name="_GoBack"/>
      <w:bookmarkEnd w:id="0"/>
      <w:r w:rsidRPr="00F061E0">
        <w:rPr>
          <w:rFonts w:ascii="Times New Roman" w:eastAsia="Times New Roman" w:hAnsi="Times New Roman" w:cs="Times New Roman"/>
          <w:b/>
          <w:bCs/>
          <w:sz w:val="27"/>
          <w:szCs w:val="27"/>
        </w:rPr>
        <w:t>Abstract</w:t>
      </w:r>
    </w:p>
    <w:p w14:paraId="4AC70415" w14:textId="77777777" w:rsidR="00F061E0" w:rsidRPr="00F061E0" w:rsidRDefault="00F061E0" w:rsidP="00F061E0">
      <w:pPr>
        <w:spacing w:before="100" w:beforeAutospacing="1" w:after="100" w:afterAutospacing="1" w:line="240" w:lineRule="auto"/>
        <w:rPr>
          <w:rFonts w:ascii="Times New Roman" w:eastAsia="Times New Roman" w:hAnsi="Times New Roman" w:cs="Times New Roman"/>
          <w:sz w:val="24"/>
          <w:szCs w:val="24"/>
        </w:rPr>
      </w:pPr>
      <w:r w:rsidRPr="00F061E0">
        <w:rPr>
          <w:rFonts w:ascii="Times New Roman" w:eastAsia="Times New Roman" w:hAnsi="Times New Roman" w:cs="Times New Roman"/>
          <w:sz w:val="24"/>
          <w:szCs w:val="24"/>
        </w:rPr>
        <w:t>The role of coronary angiography and revascularization, including percutaneous coronary intervention (PCI) prior to noncardiac surgery remains poorly defined. The goal of preoperative angiography and PCI is improved risk stratification and ideally risk reduction of postoperative cardiovascular events, such as myocardial infarction (MI). By current guidelines, these procedures should be performed sparingly in high-risk stable coronary artery disease (CAD) patients and routinely in patients with acute coronary syndrome (ACS). Anatomic assessment of CAD by routine invasive angiography is discouraged, although noninvasive assessment may soon be possible. As prior trials have failed to show a clear benefit in outcomes, PCI should only be considered in patients with high-risk anatomic features. The ideal management of other anatomic disease discovered by angiography is currently unknown. Limited registry data suggest that PCI is used more frequently than recommended, although the features of these procedures remain poorly elaborated. In patients who do undergo preoperative PCI, careful attention must be paid to patient-specific factors including the nature and urgency of surgery and duration of dual antiplatelet therapy. In summary, substantial evidence gaps warrant further research in this important area.</w:t>
      </w:r>
    </w:p>
    <w:p w14:paraId="4FF4672E" w14:textId="77777777" w:rsidR="00F061E0" w:rsidRPr="00F061E0" w:rsidRDefault="00F061E0" w:rsidP="00F061E0">
      <w:pPr>
        <w:spacing w:before="100" w:beforeAutospacing="1" w:after="100" w:afterAutospacing="1" w:line="240" w:lineRule="auto"/>
        <w:outlineLvl w:val="3"/>
        <w:rPr>
          <w:rFonts w:ascii="Times New Roman" w:eastAsia="Times New Roman" w:hAnsi="Times New Roman" w:cs="Times New Roman"/>
          <w:b/>
          <w:bCs/>
          <w:sz w:val="24"/>
          <w:szCs w:val="24"/>
        </w:rPr>
      </w:pPr>
      <w:r w:rsidRPr="00F061E0">
        <w:rPr>
          <w:rFonts w:ascii="Times New Roman" w:eastAsia="Times New Roman" w:hAnsi="Times New Roman" w:cs="Times New Roman"/>
          <w:b/>
          <w:bCs/>
          <w:sz w:val="24"/>
          <w:szCs w:val="24"/>
        </w:rPr>
        <w:t xml:space="preserve">KEYWORDS: </w:t>
      </w:r>
    </w:p>
    <w:p w14:paraId="6E272979" w14:textId="77777777" w:rsidR="00F061E0" w:rsidRPr="00F061E0" w:rsidRDefault="00F061E0" w:rsidP="00F061E0">
      <w:pPr>
        <w:spacing w:before="100" w:beforeAutospacing="1" w:after="100" w:afterAutospacing="1" w:line="240" w:lineRule="auto"/>
        <w:rPr>
          <w:rFonts w:ascii="Times New Roman" w:eastAsia="Times New Roman" w:hAnsi="Times New Roman" w:cs="Times New Roman"/>
          <w:sz w:val="24"/>
          <w:szCs w:val="24"/>
        </w:rPr>
      </w:pPr>
      <w:r w:rsidRPr="00F061E0">
        <w:rPr>
          <w:rFonts w:ascii="Times New Roman" w:eastAsia="Times New Roman" w:hAnsi="Times New Roman" w:cs="Times New Roman"/>
          <w:sz w:val="24"/>
          <w:szCs w:val="24"/>
        </w:rPr>
        <w:t>Cardiac catheterization; Noncardiac surgery; Percutaneous coronary intervention; Preoperative risk assessment</w:t>
      </w:r>
    </w:p>
    <w:p w14:paraId="1B9BD36D" w14:textId="77777777" w:rsidR="006B594B" w:rsidRDefault="006B594B"/>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1E0"/>
    <w:rsid w:val="006B594B"/>
    <w:rsid w:val="00F061E0"/>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45F7D"/>
  <w15:chartTrackingRefBased/>
  <w15:docId w15:val="{7B6BBE97-1BAC-4FAD-93A7-B4CAF40DD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2221">
      <w:bodyDiv w:val="1"/>
      <w:marLeft w:val="0"/>
      <w:marRight w:val="0"/>
      <w:marTop w:val="0"/>
      <w:marBottom w:val="0"/>
      <w:divBdr>
        <w:top w:val="none" w:sz="0" w:space="0" w:color="auto"/>
        <w:left w:val="none" w:sz="0" w:space="0" w:color="auto"/>
        <w:bottom w:val="none" w:sz="0" w:space="0" w:color="auto"/>
        <w:right w:val="none" w:sz="0" w:space="0" w:color="auto"/>
      </w:divBdr>
      <w:divsChild>
        <w:div w:id="1548298895">
          <w:marLeft w:val="0"/>
          <w:marRight w:val="0"/>
          <w:marTop w:val="0"/>
          <w:marBottom w:val="0"/>
          <w:divBdr>
            <w:top w:val="none" w:sz="0" w:space="0" w:color="auto"/>
            <w:left w:val="none" w:sz="0" w:space="0" w:color="auto"/>
            <w:bottom w:val="none" w:sz="0" w:space="0" w:color="auto"/>
            <w:right w:val="none" w:sz="0" w:space="0" w:color="auto"/>
          </w:divBdr>
        </w:div>
        <w:div w:id="1427652508">
          <w:marLeft w:val="0"/>
          <w:marRight w:val="0"/>
          <w:marTop w:val="0"/>
          <w:marBottom w:val="0"/>
          <w:divBdr>
            <w:top w:val="none" w:sz="0" w:space="0" w:color="auto"/>
            <w:left w:val="none" w:sz="0" w:space="0" w:color="auto"/>
            <w:bottom w:val="none" w:sz="0" w:space="0" w:color="auto"/>
            <w:right w:val="none" w:sz="0" w:space="0" w:color="auto"/>
          </w:divBdr>
        </w:div>
        <w:div w:id="901910419">
          <w:marLeft w:val="0"/>
          <w:marRight w:val="0"/>
          <w:marTop w:val="0"/>
          <w:marBottom w:val="0"/>
          <w:divBdr>
            <w:top w:val="none" w:sz="0" w:space="0" w:color="auto"/>
            <w:left w:val="none" w:sz="0" w:space="0" w:color="auto"/>
            <w:bottom w:val="none" w:sz="0" w:space="0" w:color="auto"/>
            <w:right w:val="none" w:sz="0" w:space="0" w:color="auto"/>
          </w:divBdr>
          <w:divsChild>
            <w:div w:id="1726564502">
              <w:marLeft w:val="0"/>
              <w:marRight w:val="0"/>
              <w:marTop w:val="0"/>
              <w:marBottom w:val="0"/>
              <w:divBdr>
                <w:top w:val="none" w:sz="0" w:space="0" w:color="auto"/>
                <w:left w:val="none" w:sz="0" w:space="0" w:color="auto"/>
                <w:bottom w:val="none" w:sz="0" w:space="0" w:color="auto"/>
                <w:right w:val="none" w:sz="0" w:space="0" w:color="auto"/>
              </w:divBdr>
            </w:div>
          </w:divsChild>
        </w:div>
        <w:div w:id="803700524">
          <w:marLeft w:val="0"/>
          <w:marRight w:val="0"/>
          <w:marTop w:val="0"/>
          <w:marBottom w:val="0"/>
          <w:divBdr>
            <w:top w:val="none" w:sz="0" w:space="0" w:color="auto"/>
            <w:left w:val="none" w:sz="0" w:space="0" w:color="auto"/>
            <w:bottom w:val="none" w:sz="0" w:space="0" w:color="auto"/>
            <w:right w:val="none" w:sz="0" w:space="0" w:color="auto"/>
          </w:divBdr>
          <w:divsChild>
            <w:div w:id="382288371">
              <w:marLeft w:val="0"/>
              <w:marRight w:val="0"/>
              <w:marTop w:val="0"/>
              <w:marBottom w:val="0"/>
              <w:divBdr>
                <w:top w:val="none" w:sz="0" w:space="0" w:color="auto"/>
                <w:left w:val="none" w:sz="0" w:space="0" w:color="auto"/>
                <w:bottom w:val="none" w:sz="0" w:space="0" w:color="auto"/>
                <w:right w:val="none" w:sz="0" w:space="0" w:color="auto"/>
              </w:divBdr>
            </w:div>
          </w:divsChild>
        </w:div>
        <w:div w:id="2071077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cbi.nlm.nih.gov/pubmed/?term=Swaminathan%20RV%5BAuthor%5D&amp;cauthor=true&amp;cauthor_uid=267284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Feldman%20DN%5BAuthor%5D&amp;cauthor=true&amp;cauthor_uid=26728404" TargetMode="External"/><Relationship Id="rId5" Type="http://schemas.openxmlformats.org/officeDocument/2006/relationships/hyperlink" Target="https://www.ncbi.nlm.nih.gov/pubmed/?term=Pashun%20RA%5BAuthor%5D&amp;cauthor=true&amp;cauthor_uid=26728404" TargetMode="External"/><Relationship Id="rId4" Type="http://schemas.openxmlformats.org/officeDocument/2006/relationships/hyperlink" Target="https://www.ncbi.nlm.nih.gov/pubmed/?term=Schulman-Marcus%20J%5BAuthor%5D&amp;cauthor=true&amp;cauthor_uid=2672840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339</Words>
  <Characters>1933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2019-04-21T19:11:00Z</dcterms:created>
  <dcterms:modified xsi:type="dcterms:W3CDTF">2019-04-21T19:16:00Z</dcterms:modified>
</cp:coreProperties>
</file>