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1F374E" w14:textId="77777777" w:rsidR="003A42EC" w:rsidRPr="003A42EC" w:rsidRDefault="003A42EC" w:rsidP="003A42EC">
      <w:pPr>
        <w:shd w:val="clear" w:color="auto" w:fill="FFFFFF"/>
        <w:spacing w:after="0" w:line="240" w:lineRule="auto"/>
        <w:rPr>
          <w:rFonts w:ascii="Arial" w:eastAsia="Times New Roman" w:hAnsi="Arial" w:cs="Arial"/>
          <w:color w:val="000000"/>
          <w:sz w:val="21"/>
          <w:szCs w:val="21"/>
        </w:rPr>
      </w:pPr>
      <w:r w:rsidRPr="003A42EC">
        <w:rPr>
          <w:rFonts w:ascii="Arial" w:eastAsia="Times New Roman" w:hAnsi="Arial" w:cs="Arial"/>
          <w:color w:val="000000"/>
          <w:sz w:val="21"/>
          <w:szCs w:val="21"/>
        </w:rPr>
        <w:t>Authors:</w:t>
      </w:r>
    </w:p>
    <w:p w14:paraId="6799749D" w14:textId="77777777" w:rsidR="003A42EC" w:rsidRPr="003A42EC" w:rsidRDefault="003A42EC" w:rsidP="003A42EC">
      <w:pPr>
        <w:shd w:val="clear" w:color="auto" w:fill="FFFFFF"/>
        <w:spacing w:after="0" w:line="240" w:lineRule="auto"/>
        <w:ind w:left="720"/>
        <w:rPr>
          <w:rFonts w:ascii="Arial" w:eastAsia="Times New Roman" w:hAnsi="Arial" w:cs="Arial"/>
          <w:color w:val="000000"/>
          <w:sz w:val="21"/>
          <w:szCs w:val="21"/>
        </w:rPr>
      </w:pPr>
      <w:r w:rsidRPr="003A42EC">
        <w:rPr>
          <w:rFonts w:ascii="Arial" w:eastAsia="Times New Roman" w:hAnsi="Arial" w:cs="Arial"/>
          <w:color w:val="000000"/>
          <w:sz w:val="21"/>
          <w:szCs w:val="21"/>
        </w:rPr>
        <w:t>B Taylor Thompson, MD</w:t>
      </w:r>
    </w:p>
    <w:p w14:paraId="051B9D9B" w14:textId="77777777" w:rsidR="003A42EC" w:rsidRPr="003A42EC" w:rsidRDefault="003A42EC" w:rsidP="003A42EC">
      <w:pPr>
        <w:shd w:val="clear" w:color="auto" w:fill="FFFFFF"/>
        <w:spacing w:after="0" w:line="240" w:lineRule="auto"/>
        <w:ind w:left="720"/>
        <w:rPr>
          <w:rFonts w:ascii="Arial" w:eastAsia="Times New Roman" w:hAnsi="Arial" w:cs="Arial"/>
          <w:color w:val="000000"/>
          <w:sz w:val="21"/>
          <w:szCs w:val="21"/>
        </w:rPr>
      </w:pPr>
      <w:r w:rsidRPr="003A42EC">
        <w:rPr>
          <w:rFonts w:ascii="Arial" w:eastAsia="Times New Roman" w:hAnsi="Arial" w:cs="Arial"/>
          <w:color w:val="000000"/>
          <w:sz w:val="21"/>
          <w:szCs w:val="21"/>
        </w:rPr>
        <w:t>Christopher Kabrhel, MD, MPH</w:t>
      </w:r>
    </w:p>
    <w:p w14:paraId="0F79EC5F" w14:textId="77777777" w:rsidR="003A42EC" w:rsidRPr="003A42EC" w:rsidRDefault="003A42EC" w:rsidP="003A42EC">
      <w:pPr>
        <w:shd w:val="clear" w:color="auto" w:fill="FFFFFF"/>
        <w:spacing w:after="0" w:line="240" w:lineRule="auto"/>
        <w:rPr>
          <w:rFonts w:ascii="Arial" w:eastAsia="Times New Roman" w:hAnsi="Arial" w:cs="Arial"/>
          <w:color w:val="000000"/>
          <w:sz w:val="21"/>
          <w:szCs w:val="21"/>
        </w:rPr>
      </w:pPr>
      <w:r w:rsidRPr="003A42EC">
        <w:rPr>
          <w:rFonts w:ascii="Arial" w:eastAsia="Times New Roman" w:hAnsi="Arial" w:cs="Arial"/>
          <w:color w:val="000000"/>
          <w:sz w:val="21"/>
          <w:szCs w:val="21"/>
        </w:rPr>
        <w:t>Section Editor:</w:t>
      </w:r>
    </w:p>
    <w:p w14:paraId="536DC0AB" w14:textId="77777777" w:rsidR="003A42EC" w:rsidRPr="003A42EC" w:rsidRDefault="003A42EC" w:rsidP="003A42EC">
      <w:pPr>
        <w:shd w:val="clear" w:color="auto" w:fill="FFFFFF"/>
        <w:spacing w:after="0" w:line="240" w:lineRule="auto"/>
        <w:ind w:left="720"/>
        <w:rPr>
          <w:rFonts w:ascii="Arial" w:eastAsia="Times New Roman" w:hAnsi="Arial" w:cs="Arial"/>
          <w:color w:val="000000"/>
          <w:sz w:val="21"/>
          <w:szCs w:val="21"/>
        </w:rPr>
      </w:pPr>
      <w:r w:rsidRPr="003A42EC">
        <w:rPr>
          <w:rFonts w:ascii="Arial" w:eastAsia="Times New Roman" w:hAnsi="Arial" w:cs="Arial"/>
          <w:color w:val="000000"/>
          <w:sz w:val="21"/>
          <w:szCs w:val="21"/>
        </w:rPr>
        <w:t>Jess Mandel, MD</w:t>
      </w:r>
    </w:p>
    <w:p w14:paraId="348536E4" w14:textId="77777777" w:rsidR="003A42EC" w:rsidRPr="003A42EC" w:rsidRDefault="003A42EC" w:rsidP="003A42EC">
      <w:pPr>
        <w:shd w:val="clear" w:color="auto" w:fill="FFFFFF"/>
        <w:spacing w:after="0" w:line="240" w:lineRule="auto"/>
        <w:rPr>
          <w:rFonts w:ascii="Arial" w:eastAsia="Times New Roman" w:hAnsi="Arial" w:cs="Arial"/>
          <w:color w:val="000000"/>
          <w:sz w:val="21"/>
          <w:szCs w:val="21"/>
        </w:rPr>
      </w:pPr>
      <w:r w:rsidRPr="003A42EC">
        <w:rPr>
          <w:rFonts w:ascii="Arial" w:eastAsia="Times New Roman" w:hAnsi="Arial" w:cs="Arial"/>
          <w:color w:val="000000"/>
          <w:sz w:val="21"/>
          <w:szCs w:val="21"/>
        </w:rPr>
        <w:t>Deputy Editor:</w:t>
      </w:r>
    </w:p>
    <w:p w14:paraId="75978957" w14:textId="77777777" w:rsidR="003A42EC" w:rsidRPr="003A42EC" w:rsidRDefault="003A42EC" w:rsidP="003A42EC">
      <w:pPr>
        <w:shd w:val="clear" w:color="auto" w:fill="FFFFFF"/>
        <w:spacing w:after="0" w:line="240" w:lineRule="auto"/>
        <w:ind w:left="720"/>
        <w:rPr>
          <w:rFonts w:ascii="Arial" w:eastAsia="Times New Roman" w:hAnsi="Arial" w:cs="Arial"/>
          <w:color w:val="000000"/>
          <w:sz w:val="21"/>
          <w:szCs w:val="21"/>
        </w:rPr>
      </w:pPr>
      <w:r w:rsidRPr="003A42EC">
        <w:rPr>
          <w:rFonts w:ascii="Arial" w:eastAsia="Times New Roman" w:hAnsi="Arial" w:cs="Arial"/>
          <w:color w:val="000000"/>
          <w:sz w:val="21"/>
          <w:szCs w:val="21"/>
        </w:rPr>
        <w:t>Geraldine Finlay, MD</w:t>
      </w:r>
    </w:p>
    <w:p w14:paraId="517CB781" w14:textId="77777777" w:rsidR="003A42EC" w:rsidRPr="003A42EC" w:rsidRDefault="003A42EC" w:rsidP="003A42EC">
      <w:pPr>
        <w:shd w:val="clear" w:color="auto" w:fill="FFFFFF"/>
        <w:spacing w:after="120" w:line="240" w:lineRule="auto"/>
        <w:rPr>
          <w:rFonts w:ascii="Arial" w:eastAsia="Times New Roman" w:hAnsi="Arial" w:cs="Arial"/>
          <w:color w:val="000000"/>
          <w:sz w:val="21"/>
          <w:szCs w:val="21"/>
        </w:rPr>
      </w:pPr>
      <w:r w:rsidRPr="003A42EC">
        <w:rPr>
          <w:rFonts w:ascii="Arial" w:eastAsia="Times New Roman" w:hAnsi="Arial" w:cs="Arial"/>
          <w:b/>
          <w:bCs/>
          <w:color w:val="000000"/>
          <w:sz w:val="21"/>
          <w:szCs w:val="21"/>
        </w:rPr>
        <w:t>Literature review current through:</w:t>
      </w:r>
      <w:r w:rsidRPr="003A42EC">
        <w:rPr>
          <w:rFonts w:ascii="Arial" w:eastAsia="Times New Roman" w:hAnsi="Arial" w:cs="Arial"/>
          <w:color w:val="000000"/>
          <w:sz w:val="21"/>
          <w:szCs w:val="21"/>
        </w:rPr>
        <w:t> Nov 2019. | </w:t>
      </w:r>
      <w:r w:rsidRPr="003A42EC">
        <w:rPr>
          <w:rFonts w:ascii="Arial" w:eastAsia="Times New Roman" w:hAnsi="Arial" w:cs="Arial"/>
          <w:b/>
          <w:bCs/>
          <w:color w:val="000000"/>
          <w:sz w:val="21"/>
          <w:szCs w:val="21"/>
        </w:rPr>
        <w:t>This topic last updated:</w:t>
      </w:r>
      <w:r w:rsidRPr="003A42EC">
        <w:rPr>
          <w:rFonts w:ascii="Arial" w:eastAsia="Times New Roman" w:hAnsi="Arial" w:cs="Arial"/>
          <w:color w:val="000000"/>
          <w:sz w:val="21"/>
          <w:szCs w:val="21"/>
        </w:rPr>
        <w:t> Aug 21, 2018.</w:t>
      </w:r>
    </w:p>
    <w:p w14:paraId="3898B518"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b/>
          <w:bCs/>
          <w:color w:val="000000"/>
          <w:sz w:val="21"/>
          <w:szCs w:val="21"/>
        </w:rPr>
        <w:t>INTRODUCTION</w:t>
      </w:r>
      <w:r w:rsidRPr="003A42EC">
        <w:rPr>
          <w:rFonts w:ascii="Arial" w:eastAsia="Times New Roman" w:hAnsi="Arial" w:cs="Arial"/>
          <w:color w:val="000000"/>
          <w:sz w:val="21"/>
          <w:szCs w:val="21"/>
        </w:rPr>
        <w:t> — Acute pulmonary embolism (PE) is a form of venous thromboembolism (VTE) that is common and sometimes fatal. The clinical presentation of PE is variable and often nonspecific making the diagnosis challenging. The evaluation of patients with suspected PE should be efficient so that patients can be diagnosed and therapy administered quickly to reduce the associated morbidity and mortality.</w:t>
      </w:r>
    </w:p>
    <w:p w14:paraId="55681C67"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color w:val="000000"/>
          <w:sz w:val="21"/>
          <w:szCs w:val="21"/>
        </w:rPr>
        <w:t>The definition, epidemiology, pathogenesis, and pathophysiology of PE are discussed in detail in this topic. A broad overview of the clinical presentation, evaluation, and diagnosis as well as treatment, prognosis, and follow-up of PE is also provided in this topic; however, a detailed discussion of these issues is provided separately. (See "Clinical presentation, evaluation, and diagnosis of the nonpregnant adult with suspected acute pulmonary embolism" and "Treatment, prognosis, and follow-up of acute pulmonary embolism in adults".) (Related Pathway(s): </w:t>
      </w:r>
      <w:hyperlink r:id="rId5" w:history="1">
        <w:r w:rsidRPr="003A42EC">
          <w:rPr>
            <w:rFonts w:ascii="Arial" w:eastAsia="Times New Roman" w:hAnsi="Arial" w:cs="Arial"/>
            <w:color w:val="00905A"/>
            <w:sz w:val="21"/>
            <w:szCs w:val="21"/>
            <w:u w:val="single"/>
          </w:rPr>
          <w:t>Pulmonary embolism: Diagnostic evaluation in adults who are hemodynamically stable</w:t>
        </w:r>
      </w:hyperlink>
      <w:r w:rsidRPr="003A42EC">
        <w:rPr>
          <w:rFonts w:ascii="Arial" w:eastAsia="Times New Roman" w:hAnsi="Arial" w:cs="Arial"/>
          <w:color w:val="000000"/>
          <w:sz w:val="21"/>
          <w:szCs w:val="21"/>
        </w:rPr>
        <w:t> and </w:t>
      </w:r>
      <w:hyperlink r:id="rId6" w:history="1">
        <w:r w:rsidRPr="003A42EC">
          <w:rPr>
            <w:rFonts w:ascii="Arial" w:eastAsia="Times New Roman" w:hAnsi="Arial" w:cs="Arial"/>
            <w:color w:val="00905A"/>
            <w:sz w:val="21"/>
            <w:szCs w:val="21"/>
            <w:u w:val="single"/>
          </w:rPr>
          <w:t>Pulmonary embolism: Diagnostic evaluation in adults who are hemodynamically unstable despite resuscitative efforts</w:t>
        </w:r>
      </w:hyperlink>
      <w:r w:rsidRPr="003A42EC">
        <w:rPr>
          <w:rFonts w:ascii="Arial" w:eastAsia="Times New Roman" w:hAnsi="Arial" w:cs="Arial"/>
          <w:color w:val="000000"/>
          <w:sz w:val="21"/>
          <w:szCs w:val="21"/>
        </w:rPr>
        <w:t> and </w:t>
      </w:r>
      <w:hyperlink r:id="rId7" w:history="1">
        <w:r w:rsidRPr="003A42EC">
          <w:rPr>
            <w:rFonts w:ascii="Arial" w:eastAsia="Times New Roman" w:hAnsi="Arial" w:cs="Arial"/>
            <w:color w:val="00905A"/>
            <w:sz w:val="21"/>
            <w:szCs w:val="21"/>
            <w:u w:val="single"/>
          </w:rPr>
          <w:t>Pulmonary embolism (confirmed or suspected): Initial management of hemodynamically stable adults</w:t>
        </w:r>
      </w:hyperlink>
      <w:r w:rsidRPr="003A42EC">
        <w:rPr>
          <w:rFonts w:ascii="Arial" w:eastAsia="Times New Roman" w:hAnsi="Arial" w:cs="Arial"/>
          <w:color w:val="000000"/>
          <w:sz w:val="21"/>
          <w:szCs w:val="21"/>
        </w:rPr>
        <w:t> and </w:t>
      </w:r>
      <w:hyperlink r:id="rId8" w:history="1">
        <w:r w:rsidRPr="003A42EC">
          <w:rPr>
            <w:rFonts w:ascii="Arial" w:eastAsia="Times New Roman" w:hAnsi="Arial" w:cs="Arial"/>
            <w:color w:val="00905A"/>
            <w:sz w:val="21"/>
            <w:szCs w:val="21"/>
            <w:u w:val="single"/>
          </w:rPr>
          <w:t>Pulmonary embolism (confirmed or suspected): Initial management of hemodynamically unstable adults</w:t>
        </w:r>
      </w:hyperlink>
      <w:r w:rsidRPr="003A42EC">
        <w:rPr>
          <w:rFonts w:ascii="Arial" w:eastAsia="Times New Roman" w:hAnsi="Arial" w:cs="Arial"/>
          <w:color w:val="000000"/>
          <w:sz w:val="21"/>
          <w:szCs w:val="21"/>
        </w:rPr>
        <w:t>.)</w:t>
      </w:r>
    </w:p>
    <w:p w14:paraId="16168E96"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b/>
          <w:bCs/>
          <w:color w:val="000000"/>
          <w:sz w:val="21"/>
          <w:szCs w:val="21"/>
        </w:rPr>
        <w:t>DEFINITION AND NOMENCLATURE</w:t>
      </w:r>
    </w:p>
    <w:p w14:paraId="7A68CAEF"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b/>
          <w:bCs/>
          <w:color w:val="000000"/>
          <w:sz w:val="21"/>
          <w:szCs w:val="21"/>
        </w:rPr>
        <w:t>Definition</w:t>
      </w:r>
      <w:r w:rsidRPr="003A42EC">
        <w:rPr>
          <w:rFonts w:ascii="Arial" w:eastAsia="Times New Roman" w:hAnsi="Arial" w:cs="Arial"/>
          <w:color w:val="000000"/>
          <w:sz w:val="21"/>
          <w:szCs w:val="21"/>
        </w:rPr>
        <w:t> — Pulmonary embolus (PE) refers to obstruction of the pulmonary artery or one of its branches by material (eg, thrombus, tumor, air, or fat) that originated elsewhere in the body. This topic review focuses upon PE due to thrombus. Tumor, air, and fat emboli are discussed separately. (See "Pulmonary tumor embolism and lymphangitic carcinomatosis in adults: Diagnostic evaluation and management"and "Air embolism" and "Fat embolism syndrome".)</w:t>
      </w:r>
    </w:p>
    <w:p w14:paraId="213E26BE"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b/>
          <w:bCs/>
          <w:color w:val="000000"/>
          <w:sz w:val="21"/>
          <w:szCs w:val="21"/>
        </w:rPr>
        <w:t>Nomenclature</w:t>
      </w:r>
      <w:r w:rsidRPr="003A42EC">
        <w:rPr>
          <w:rFonts w:ascii="Arial" w:eastAsia="Times New Roman" w:hAnsi="Arial" w:cs="Arial"/>
          <w:color w:val="000000"/>
          <w:sz w:val="21"/>
          <w:szCs w:val="21"/>
        </w:rPr>
        <w:t> — PE can be classified by the following:</w:t>
      </w:r>
    </w:p>
    <w:p w14:paraId="6860FA7F"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b/>
          <w:bCs/>
          <w:color w:val="000000"/>
          <w:sz w:val="21"/>
          <w:szCs w:val="21"/>
        </w:rPr>
        <w:t>The temporal pattern of presentation (acute, subacute, or chronic)</w:t>
      </w:r>
      <w:r w:rsidRPr="003A42EC">
        <w:rPr>
          <w:rFonts w:ascii="Arial" w:eastAsia="Times New Roman" w:hAnsi="Arial" w:cs="Arial"/>
          <w:color w:val="000000"/>
          <w:sz w:val="21"/>
          <w:szCs w:val="21"/>
        </w:rPr>
        <w:t> – Patients with PE can present acutely, subacutely, or chronically:</w:t>
      </w:r>
    </w:p>
    <w:p w14:paraId="6B76D22B" w14:textId="77777777" w:rsidR="003A42EC" w:rsidRPr="003A42EC" w:rsidRDefault="003A42EC" w:rsidP="003A42EC">
      <w:pPr>
        <w:shd w:val="clear" w:color="auto" w:fill="FFFFFF"/>
        <w:spacing w:before="216" w:after="216" w:line="291" w:lineRule="atLeast"/>
        <w:ind w:left="96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Acute – Patients with acute PE typically develop symptoms and signs immediately after obstruction of pulmonary vessels.</w:t>
      </w:r>
    </w:p>
    <w:p w14:paraId="4869BB60" w14:textId="77777777" w:rsidR="003A42EC" w:rsidRPr="003A42EC" w:rsidRDefault="003A42EC" w:rsidP="003A42EC">
      <w:pPr>
        <w:shd w:val="clear" w:color="auto" w:fill="FFFFFF"/>
        <w:spacing w:before="216" w:after="216" w:line="291" w:lineRule="atLeast"/>
        <w:ind w:left="96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Subacute – Some patients with PE may also present subacutely within days or weeks following the initial event.</w:t>
      </w:r>
    </w:p>
    <w:p w14:paraId="1B46202D" w14:textId="77777777" w:rsidR="003A42EC" w:rsidRPr="003A42EC" w:rsidRDefault="003A42EC" w:rsidP="003A42EC">
      <w:pPr>
        <w:shd w:val="clear" w:color="auto" w:fill="FFFFFF"/>
        <w:spacing w:before="216" w:after="216" w:line="291" w:lineRule="atLeast"/>
        <w:ind w:left="96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Chronic – Patients with chronic PE slowly develop symptoms of pulmonary hypertension over many years (ie, chronic thromboembolic pulmonary hypertension; CTEPH).</w:t>
      </w:r>
    </w:p>
    <w:p w14:paraId="6C4D3111"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Arial" w:eastAsia="Times New Roman" w:hAnsi="Arial" w:cs="Arial"/>
          <w:color w:val="000000"/>
          <w:sz w:val="21"/>
          <w:szCs w:val="21"/>
        </w:rPr>
        <w:lastRenderedPageBreak/>
        <w:t>An overview of acute and subacute PE is discussed in this review. The etiology, clinical manifestations, diagnosis, and treatment of CTEPH are discussed separately. (See "Clinical manifestations and diagnosis of chronic thromboembolic pulmonary hypertension" and "Overview of the treatment of chronic thromboembolic pulmonary hypertension".)</w:t>
      </w:r>
    </w:p>
    <w:p w14:paraId="68604765"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b/>
          <w:bCs/>
          <w:color w:val="000000"/>
          <w:sz w:val="21"/>
          <w:szCs w:val="21"/>
        </w:rPr>
        <w:t>The presence or absence of hemodynamic stability (hemodynamically unstable or stable)</w:t>
      </w:r>
      <w:r w:rsidRPr="003A42EC">
        <w:rPr>
          <w:rFonts w:ascii="Arial" w:eastAsia="Times New Roman" w:hAnsi="Arial" w:cs="Arial"/>
          <w:color w:val="000000"/>
          <w:sz w:val="21"/>
          <w:szCs w:val="21"/>
        </w:rPr>
        <w:t> – Hemodynamically unstable PE is also called "</w:t>
      </w:r>
      <w:r w:rsidRPr="003A42EC">
        <w:rPr>
          <w:rFonts w:ascii="Arial" w:eastAsia="Times New Roman" w:hAnsi="Arial" w:cs="Arial"/>
          <w:b/>
          <w:bCs/>
          <w:color w:val="000000"/>
          <w:sz w:val="21"/>
          <w:szCs w:val="21"/>
        </w:rPr>
        <w:t>massive</w:t>
      </w:r>
      <w:r w:rsidRPr="003A42EC">
        <w:rPr>
          <w:rFonts w:ascii="Arial" w:eastAsia="Times New Roman" w:hAnsi="Arial" w:cs="Arial"/>
          <w:color w:val="000000"/>
          <w:sz w:val="21"/>
          <w:szCs w:val="21"/>
        </w:rPr>
        <w:t>" or "</w:t>
      </w:r>
      <w:r w:rsidRPr="003A42EC">
        <w:rPr>
          <w:rFonts w:ascii="Arial" w:eastAsia="Times New Roman" w:hAnsi="Arial" w:cs="Arial"/>
          <w:b/>
          <w:bCs/>
          <w:color w:val="000000"/>
          <w:sz w:val="21"/>
          <w:szCs w:val="21"/>
        </w:rPr>
        <w:t>high-risk</w:t>
      </w:r>
      <w:r w:rsidRPr="003A42EC">
        <w:rPr>
          <w:rFonts w:ascii="Arial" w:eastAsia="Times New Roman" w:hAnsi="Arial" w:cs="Arial"/>
          <w:color w:val="000000"/>
          <w:sz w:val="21"/>
          <w:szCs w:val="21"/>
        </w:rPr>
        <w:t>" PE. Hemodynamically stable PE is called "</w:t>
      </w:r>
      <w:r w:rsidRPr="003A42EC">
        <w:rPr>
          <w:rFonts w:ascii="Arial" w:eastAsia="Times New Roman" w:hAnsi="Arial" w:cs="Arial"/>
          <w:b/>
          <w:bCs/>
          <w:color w:val="000000"/>
          <w:sz w:val="21"/>
          <w:szCs w:val="21"/>
        </w:rPr>
        <w:t>submassive" </w:t>
      </w:r>
      <w:r w:rsidRPr="003A42EC">
        <w:rPr>
          <w:rFonts w:ascii="Arial" w:eastAsia="Times New Roman" w:hAnsi="Arial" w:cs="Arial"/>
          <w:color w:val="000000"/>
          <w:sz w:val="21"/>
          <w:szCs w:val="21"/>
        </w:rPr>
        <w:t>or</w:t>
      </w:r>
      <w:r w:rsidRPr="003A42EC">
        <w:rPr>
          <w:rFonts w:ascii="Arial" w:eastAsia="Times New Roman" w:hAnsi="Arial" w:cs="Arial"/>
          <w:b/>
          <w:bCs/>
          <w:color w:val="000000"/>
          <w:sz w:val="21"/>
          <w:szCs w:val="21"/>
        </w:rPr>
        <w:t> </w:t>
      </w:r>
      <w:r w:rsidRPr="003A42EC">
        <w:rPr>
          <w:rFonts w:ascii="Arial" w:eastAsia="Times New Roman" w:hAnsi="Arial" w:cs="Arial"/>
          <w:color w:val="000000"/>
          <w:sz w:val="21"/>
          <w:szCs w:val="21"/>
        </w:rPr>
        <w:t>"intermediate-risk" PE if there is associated right ventricular strain, or "low-risk" PE if there is no evidence of right ventricular strain. Hemodynamically stable and unstable PE are defined as the following:</w:t>
      </w:r>
    </w:p>
    <w:p w14:paraId="509FCF06" w14:textId="77777777" w:rsidR="003A42EC" w:rsidRPr="003A42EC" w:rsidRDefault="003A42EC" w:rsidP="003A42EC">
      <w:pPr>
        <w:shd w:val="clear" w:color="auto" w:fill="FFFFFF"/>
        <w:spacing w:before="216" w:after="216" w:line="291" w:lineRule="atLeast"/>
        <w:ind w:left="96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Hemodynamically unstable PE is that which results in hypotension. Hypotension is defined as a systolic blood pressure &lt;90 mmHg or a drop in systolic blood pressure of ≥40 mmHg from baseline for a period &gt;15 minutes or hypotension that requires vasopressors or inotropic support and is not explained by other causes such as sepsis, arrhythmia, left ventricular dysfunction from acute myocardial ischemia or infarction, or hypovolemia. Although hemodynamically unstable PE is often caused by large (ie, massive) PE, it can sometimes be due to small PE in patients with underlying cardiopulmonary disease. Thus, the term "massive" PE does not necessarily describe the size of the PE as much as its hemodynamic effect. (See 'Pathophysiologic response to PE' below.)</w:t>
      </w:r>
    </w:p>
    <w:p w14:paraId="1DD5F126" w14:textId="77777777" w:rsidR="003A42EC" w:rsidRPr="003A42EC" w:rsidRDefault="003A42EC" w:rsidP="003A42EC">
      <w:pPr>
        <w:shd w:val="clear" w:color="auto" w:fill="FFFFFF"/>
        <w:spacing w:before="216" w:after="216" w:line="291" w:lineRule="atLeast"/>
        <w:ind w:left="96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Hemodynamically stable PE is defined as PE that does not meet the definition of hemodynamically unstable PE. There is a spectrum of severity within this population ranging from patients who present with small, mildly symptomatic or asymptomatic PE (also known as "low-risk PE") to those who present with mild or borderline hypotension that stabilizes in response to fluid therapy, or those who present with right ventricle dysfunction (also known as "submassive" or "intermediate-risk" PE). (See "Thrombolytic (fibrinolytic) therapy in acute pulmonary embolism and lower extremity deep vein thrombosis", section on 'Hemodynamically stable patients'.)</w:t>
      </w:r>
    </w:p>
    <w:p w14:paraId="3390FBB9"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Arial" w:eastAsia="Times New Roman" w:hAnsi="Arial" w:cs="Arial"/>
          <w:color w:val="000000"/>
          <w:sz w:val="21"/>
          <w:szCs w:val="21"/>
        </w:rPr>
        <w:t>The distinction between hemodynamically stable and unstable PE is important because patients with hemodynamically unstable PE are more likely to die from obstructive shock (ie, severe right ventricular failure). Importantly, death from hemodynamically unstable PE often occurs within the first two hours, and the risk remains elevated for up to 72 hours after presentation [1,2]. (See "Clinical presentation, evaluation, and diagnosis of the nonpregnant adult with suspected acute pulmonary embolism", section on 'Hemodynamically unstable patients' and "Treatment, prognosis, and follow-up of acute pulmonary embolism in adults", section on 'Prognosis' and "Thrombolytic (fibrinolytic) therapy in acute pulmonary embolism and lower extremity deep vein thrombosis".)</w:t>
      </w:r>
    </w:p>
    <w:p w14:paraId="5C15B588"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b/>
          <w:bCs/>
          <w:color w:val="000000"/>
          <w:sz w:val="21"/>
          <w:szCs w:val="21"/>
        </w:rPr>
        <w:t>The anatomic location</w:t>
      </w:r>
      <w:r w:rsidRPr="003A42EC">
        <w:rPr>
          <w:rFonts w:ascii="Arial" w:eastAsia="Times New Roman" w:hAnsi="Arial" w:cs="Arial"/>
          <w:color w:val="000000"/>
          <w:sz w:val="21"/>
          <w:szCs w:val="21"/>
        </w:rPr>
        <w:t> </w:t>
      </w:r>
      <w:r w:rsidRPr="003A42EC">
        <w:rPr>
          <w:rFonts w:ascii="Arial" w:eastAsia="Times New Roman" w:hAnsi="Arial" w:cs="Arial"/>
          <w:b/>
          <w:bCs/>
          <w:color w:val="000000"/>
          <w:sz w:val="21"/>
          <w:szCs w:val="21"/>
        </w:rPr>
        <w:t>(saddle, lobar, segmental, subsegmental)</w:t>
      </w:r>
      <w:r w:rsidRPr="003A42EC">
        <w:rPr>
          <w:rFonts w:ascii="Arial" w:eastAsia="Times New Roman" w:hAnsi="Arial" w:cs="Arial"/>
          <w:color w:val="000000"/>
          <w:sz w:val="21"/>
          <w:szCs w:val="21"/>
        </w:rPr>
        <w:t xml:space="preserve"> – Saddle PE lodges at the bifurcation of the main pulmonary artery, often extending into the right and left main pulmonary arteries. Approximately 3 to 6 percent of patients with PE present with a saddle embolus [3,4]. Traditionally, saddle PE was thought to be associated with hemodynamic </w:t>
      </w:r>
      <w:r w:rsidRPr="003A42EC">
        <w:rPr>
          <w:rFonts w:ascii="Arial" w:eastAsia="Times New Roman" w:hAnsi="Arial" w:cs="Arial"/>
          <w:color w:val="000000"/>
          <w:sz w:val="21"/>
          <w:szCs w:val="21"/>
        </w:rPr>
        <w:lastRenderedPageBreak/>
        <w:t>instability and death. However, retrospective studies suggest that among those diagnosed with a saddle embolus, only 22 percent are hemodynamically unstable, with an associated mortality of 5 percent [3,4]. Clot that is "in transit" through the heart is often classified as a form of PE, even though the thrombus has not yet lodged in a pulmonary artery. Clot-in-transit is associated with high mortality (up to 40 percent).</w:t>
      </w:r>
    </w:p>
    <w:p w14:paraId="47E20DA1"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Arial" w:eastAsia="Times New Roman" w:hAnsi="Arial" w:cs="Arial"/>
          <w:color w:val="000000"/>
          <w:sz w:val="21"/>
          <w:szCs w:val="21"/>
        </w:rPr>
        <w:t>Most PE move beyond the bifurcation of the main pulmonary artery to lodge distally in the main lobar, segmental, or subsegmental branches of a pulmonary artery. PE can be bilateral or unilateral, depending on whether they obstruct arteries in the right, left, or both lungs. Smaller thrombi that are located in the peripheral segmental or subsegmental branches are more likely to cause pulmonary infarction and pleuritis (image 1). (See 'Pathophysiologic response to PE' below.)</w:t>
      </w:r>
    </w:p>
    <w:p w14:paraId="4631B08E"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b/>
          <w:bCs/>
          <w:color w:val="000000"/>
          <w:sz w:val="21"/>
          <w:szCs w:val="21"/>
        </w:rPr>
        <w:t>The presence or absence of symptoms (symptomatic or asymptomatic)</w:t>
      </w:r>
      <w:r w:rsidRPr="003A42EC">
        <w:rPr>
          <w:rFonts w:ascii="Arial" w:eastAsia="Times New Roman" w:hAnsi="Arial" w:cs="Arial"/>
          <w:color w:val="000000"/>
          <w:sz w:val="21"/>
          <w:szCs w:val="21"/>
        </w:rPr>
        <w:t> – Symptomatic PE refers to the presence of symptoms that usually leads to the radiologic confirmation of PE, whereas asymptomatic PE refers to the incidental finding of PE on imaging (eg, contrast-enhanced computed tomography performed for another reason) in a patient without symptoms. (See "Clinical presentation, evaluation, and diagnosis of the nonpregnant adult with suspected acute pulmonary embolism", section on 'Diagnosis'.)</w:t>
      </w:r>
    </w:p>
    <w:p w14:paraId="7B4F13F8"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b/>
          <w:bCs/>
          <w:color w:val="000000"/>
          <w:sz w:val="21"/>
          <w:szCs w:val="21"/>
        </w:rPr>
        <w:t>EPIDEMIOLOGY</w:t>
      </w:r>
    </w:p>
    <w:p w14:paraId="23BE0FE0"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b/>
          <w:bCs/>
          <w:color w:val="000000"/>
          <w:sz w:val="21"/>
          <w:szCs w:val="21"/>
        </w:rPr>
        <w:t>General population</w:t>
      </w:r>
      <w:r w:rsidRPr="003A42EC">
        <w:rPr>
          <w:rFonts w:ascii="Arial" w:eastAsia="Times New Roman" w:hAnsi="Arial" w:cs="Arial"/>
          <w:color w:val="000000"/>
          <w:sz w:val="21"/>
          <w:szCs w:val="21"/>
        </w:rPr>
        <w:t> — Estimates of the incidence of pulmonary embolism (PE) in the general population have increased following the introduction of D-dimer testing and computed tomographic pulmonary angiography in the 1990s [5-10]. One database analysis reported a doubling in the incidence of PE from 62 cases per 100,000 in the five year period before 1998 to 112 cases per 100,000 in the seven years after 1998 [5]. Other studies have confirmed similar increased rates over time [11]. In contrast, a Canadian database reported an incidence rate of PE as 0.38 per 1000 person years, a rate that appeared to be stable between 2002 and 2012 [10].</w:t>
      </w:r>
    </w:p>
    <w:p w14:paraId="4D73C4BD"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color w:val="000000"/>
          <w:sz w:val="21"/>
          <w:szCs w:val="21"/>
        </w:rPr>
        <w:t>The overall incidence is higher in males compared with females (56 versus 48 per 100,000, respectively) [12-14]. The incidence rises with increasing age, particularly in women, such that PE has an incidence of &gt;500 per 100,000 after the age of 75 years [13,15]. The use of statins may reduce the incidence of PE [16].</w:t>
      </w:r>
    </w:p>
    <w:p w14:paraId="6D4F619F"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color w:val="000000"/>
          <w:sz w:val="21"/>
          <w:szCs w:val="21"/>
        </w:rPr>
        <w:t>In the United States, PE accounts for approximately 100,000 annual deaths [12,17]. In Europe, PE accounts for 300,000 deaths annually [18]. In an analysis based upon data from five European countries, the majority of VTE-related deaths were due to hospital-acquired PE and most were diagnosed antemortem [19]. However, many causes of sudden cardiac death are thought to be secondary to PE, so the actual mortality attributable to PE is difficult to estimate.</w:t>
      </w:r>
    </w:p>
    <w:p w14:paraId="1960FE3C"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color w:val="000000"/>
          <w:sz w:val="21"/>
          <w:szCs w:val="21"/>
        </w:rPr>
        <w:t>Deaths from diagnosed PE have been declining [8,12,20], with one study reporting deaths from PE that decreased between 1979-1998, from 191 to 94 per million [12]. In another study, the mortality risk ratio from PE declined from 138 (95% CI, 125-153) in 1980-1989 to 36.08 (95% CI, 32.65-39.87) in 2000-2011 [21].</w:t>
      </w:r>
    </w:p>
    <w:p w14:paraId="390605CF"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color w:val="000000"/>
          <w:sz w:val="21"/>
          <w:szCs w:val="21"/>
        </w:rPr>
        <w:lastRenderedPageBreak/>
        <w:t>Overall mortality from PE appears to be high. Another study reported a 30-day and 1 year mortality at 4 and 13 percent, respectively and a case-fatality rate that increased with increasing age [10].</w:t>
      </w:r>
    </w:p>
    <w:p w14:paraId="3719B103"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color w:val="000000"/>
          <w:sz w:val="21"/>
          <w:szCs w:val="21"/>
        </w:rPr>
        <w:t>Age-adjusted mortality rates for African-American adults have been reported to be 50 percent higher than those for whites; in turn, mortality rates for whites are 50 percent higher than those for other races (Asian, American Indian, etc) [12].</w:t>
      </w:r>
    </w:p>
    <w:p w14:paraId="6FA89F9F"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b/>
          <w:bCs/>
          <w:color w:val="000000"/>
          <w:sz w:val="21"/>
          <w:szCs w:val="21"/>
        </w:rPr>
        <w:t>Special populations</w:t>
      </w:r>
      <w:r w:rsidRPr="003A42EC">
        <w:rPr>
          <w:rFonts w:ascii="Arial" w:eastAsia="Times New Roman" w:hAnsi="Arial" w:cs="Arial"/>
          <w:color w:val="000000"/>
          <w:sz w:val="21"/>
          <w:szCs w:val="21"/>
        </w:rPr>
        <w:t> — The incidence of venous thromboembolism (DVT and PE) in select populations is discussed in the following sections:</w:t>
      </w:r>
    </w:p>
    <w:p w14:paraId="3300874E"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Patients with malignancy (see "Risk and prevention of venous thromboembolism in adults with cancer", section on 'Incidence and risk factors' and "Supportive care of the patient with locally advanced or metastatic exocrine pancreatic cancer", section on 'Venous thromboembolism' and "Anticoagulation therapy for venous thromboembolism (lower extremity venous thrombosis and pulmonary embolism) in adult patients with malignancy", section on 'Recurrence risk')</w:t>
      </w:r>
    </w:p>
    <w:p w14:paraId="36538E95"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Patients who are pregnant (see "Pulmonary embolism in pregnancy: Epidemiology, pathogenesis, and diagnosis", section on 'Epidemiology')</w:t>
      </w:r>
    </w:p>
    <w:p w14:paraId="3E91BC67"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Patients with stroke (see "Prevention and treatment of venous thromboembolism in patients with acute stroke")</w:t>
      </w:r>
    </w:p>
    <w:p w14:paraId="77F57FD3"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Hospitalized medical patients (see "Prevention of venous thromboembolic disease in acutely ill hospitalized medical adults", section on 'General medical patients')</w:t>
      </w:r>
    </w:p>
    <w:p w14:paraId="2035BBA3"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Hospitalized surgical patients (see "Prevention of venous thromboembolic disease in adult nonorthopedic surgical patients")</w:t>
      </w:r>
    </w:p>
    <w:p w14:paraId="486C2AF7"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Hospitalized gynecologic patients (see "Risk and prevention of venous thromboembolism in adults with cancer", section on 'Incidence and risk factors')</w:t>
      </w:r>
    </w:p>
    <w:p w14:paraId="78B91BE5"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Patients with nephrotic syndrome (see "Hypercoagulability in nephrotic syndrome", section on 'Epidemiology')</w:t>
      </w:r>
    </w:p>
    <w:p w14:paraId="70701C0C"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Patients with acute traumatic spinal cord injury (see "Acute traumatic spinal cord injury", section on 'Venous thromboembolism and pulmonary embolism')</w:t>
      </w:r>
    </w:p>
    <w:p w14:paraId="17F0DBF1"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Patients with total joint arthroplasty or replacement (see "Complications of total knee arthroplasty", section on 'Thromboembolism' and "Total joint replacement for severe rheumatoid arthritis", section on 'Thromboembolism' and "Complications of total hip arthroplasty", section on 'Venous thromboembolism')</w:t>
      </w:r>
    </w:p>
    <w:p w14:paraId="0E326F77"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Patients with inherited thrombotic disorders (see "Overview of the causes of venous thrombosis", section on 'Inherited thrombophilia')</w:t>
      </w:r>
    </w:p>
    <w:p w14:paraId="3FEAE393"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b/>
          <w:bCs/>
          <w:color w:val="000000"/>
          <w:sz w:val="21"/>
          <w:szCs w:val="21"/>
        </w:rPr>
        <w:t>PATHOGENESIS AND PATHOPHYSIOLOGY</w:t>
      </w:r>
    </w:p>
    <w:p w14:paraId="312952D9"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b/>
          <w:bCs/>
          <w:color w:val="000000"/>
          <w:sz w:val="21"/>
          <w:szCs w:val="21"/>
        </w:rPr>
        <w:lastRenderedPageBreak/>
        <w:t>Pathogenesis</w:t>
      </w:r>
      <w:r w:rsidRPr="003A42EC">
        <w:rPr>
          <w:rFonts w:ascii="Arial" w:eastAsia="Times New Roman" w:hAnsi="Arial" w:cs="Arial"/>
          <w:color w:val="000000"/>
          <w:sz w:val="21"/>
          <w:szCs w:val="21"/>
        </w:rPr>
        <w:t> — The pathogenesis of pulmonary embolism (PE) is similar to that which underlies the generation of thrombus (ie, Virchow's triad). Virchow's triad consists of venous stasis, endothelial injury, and a hypercoagulable state, which is discussed separately. (See "Overview of the causes of venous thrombosis", section on 'Virchow's triad'.)</w:t>
      </w:r>
    </w:p>
    <w:p w14:paraId="195C1D82"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b/>
          <w:bCs/>
          <w:color w:val="000000"/>
          <w:sz w:val="21"/>
          <w:szCs w:val="21"/>
        </w:rPr>
        <w:t>Risk factors</w:t>
      </w:r>
      <w:r w:rsidRPr="003A42EC">
        <w:rPr>
          <w:rFonts w:ascii="Arial" w:eastAsia="Times New Roman" w:hAnsi="Arial" w:cs="Arial"/>
          <w:color w:val="000000"/>
          <w:sz w:val="21"/>
          <w:szCs w:val="21"/>
        </w:rPr>
        <w:t> — The few studies that have specifically examined risk factors for PE alone confirm that they are similar to those for venous thromboembolism (VTE) in general [22-28]. Risk factors can be classified as inherited (ie, genetic) and acquired. Twenty to thirty genetic risk factors for VTE have been identified, including factor V Leiden and the prothrombin gene mutation (20210-A) [29,30]. Acquired risk factors can be further sub-classified as provoking (eg, recent surgery, trauma, immobilization, initiation of hormone therapy, active cancer) or non-provoking (eg, obesity, heavy cigarette smoking) [28]. Risk factors for VTE are discussed in detail separately.(See "Overview of the causes of venous thrombosis".)  </w:t>
      </w:r>
    </w:p>
    <w:p w14:paraId="7DE4D36C"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b/>
          <w:bCs/>
          <w:color w:val="000000"/>
          <w:sz w:val="21"/>
          <w:szCs w:val="21"/>
        </w:rPr>
        <w:t>Source</w:t>
      </w:r>
      <w:r w:rsidRPr="003A42EC">
        <w:rPr>
          <w:rFonts w:ascii="Arial" w:eastAsia="Times New Roman" w:hAnsi="Arial" w:cs="Arial"/>
          <w:color w:val="000000"/>
          <w:sz w:val="21"/>
          <w:szCs w:val="21"/>
        </w:rPr>
        <w:t> — Most emboli are thought to arise from lower extremity proximal veins (iliac, femoral, and popliteal) (table 1) and more than 50 percent of patients with proximal vein deep venous thrombosis (DVT) have concurrent PE at presentation [31-35]. Calf vein DVT rarely embolizes to the lung and two–thirds of calf vein thrombi resolve spontaneously after detection [36-45]. However, if untreated, one-third of calf vein DVT extend into the proximal veins, where they have greater potential to embolize. PE can also arise from DVT in non-lower-extremity veins including renal and upper extremity veins, although embolization from these veins is less common. (See "Overview of the treatment of lower extremity deep vein thrombosis (DVT)", section on 'Distal DVT'.)</w:t>
      </w:r>
    </w:p>
    <w:p w14:paraId="4E8FD636"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color w:val="000000"/>
          <w:sz w:val="21"/>
          <w:szCs w:val="21"/>
        </w:rPr>
        <w:t>Most thrombi develop at sites of decreased flow in the lower extremity veins, such as valve cusps or bifurcations. However, they may also originate in veins with higher venous flow including the inferior vena cava, or the pelvic veins, and in non-lower-extremity veins including renal and upper extremity veins. (See "Hypercoagulability in nephrotic syndrome".)</w:t>
      </w:r>
    </w:p>
    <w:p w14:paraId="7F19B8BE"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b/>
          <w:bCs/>
          <w:color w:val="000000"/>
          <w:sz w:val="21"/>
          <w:szCs w:val="21"/>
        </w:rPr>
        <w:t>Pathophysiologic response to PE</w:t>
      </w:r>
      <w:r w:rsidRPr="003A42EC">
        <w:rPr>
          <w:rFonts w:ascii="Arial" w:eastAsia="Times New Roman" w:hAnsi="Arial" w:cs="Arial"/>
          <w:color w:val="000000"/>
          <w:sz w:val="21"/>
          <w:szCs w:val="21"/>
        </w:rPr>
        <w:t> — Pulmonary emboli are typically multiple, with the lower lobes being involved in the majority of cases [46]. Once thrombus lodges in the lung, a series of pathophysiologic responses can occur:</w:t>
      </w:r>
    </w:p>
    <w:p w14:paraId="18D15D24"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b/>
          <w:bCs/>
          <w:color w:val="000000"/>
          <w:sz w:val="21"/>
          <w:szCs w:val="21"/>
        </w:rPr>
        <w:t>Infarction </w:t>
      </w:r>
      <w:r w:rsidRPr="003A42EC">
        <w:rPr>
          <w:rFonts w:ascii="Arial" w:eastAsia="Times New Roman" w:hAnsi="Arial" w:cs="Arial"/>
          <w:color w:val="000000"/>
          <w:sz w:val="21"/>
          <w:szCs w:val="21"/>
        </w:rPr>
        <w:t>– In about 10 percent of patients, small thrombi lodge distally in to the segmental and subsegmental vessels resulting in pulmonary infarction [47]. These patients are more likely to have pleuritic chest pain and hemoptysis, presumed to be due to an intense inflammatory response in the lung and adjacent visceral and parietal pleura.</w:t>
      </w:r>
    </w:p>
    <w:p w14:paraId="32EEFB55"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b/>
          <w:bCs/>
          <w:color w:val="000000"/>
          <w:sz w:val="21"/>
          <w:szCs w:val="21"/>
        </w:rPr>
        <w:t>Abnormal gas exchange</w:t>
      </w:r>
      <w:r w:rsidRPr="003A42EC">
        <w:rPr>
          <w:rFonts w:ascii="Arial" w:eastAsia="Times New Roman" w:hAnsi="Arial" w:cs="Arial"/>
          <w:color w:val="000000"/>
          <w:sz w:val="21"/>
          <w:szCs w:val="21"/>
        </w:rPr>
        <w:t> – Impaired gas exchange from PE is due to mechanical and functional obstruction of the vascular bed altering the ventilation to perfusion ratio, and also to inflammation resulting in surfactant dysfunction and atelectasis resulting in functional intrapulmonary shunting. Both mechanisms cause hypoxemia [48]. Inflammation is also thought to be responsible for stimulating respiratory drive resulting in hypocapnia and respiratory alkalosis. Hypercapnia and acidosis are unusual in PE unless shock is present. (See "Clinical presentation, evaluation, and diagnosis of the nonpregnant adult with suspected acute pulmonary embolism", section on 'Laboratory tests' and "Oxygenation and mechanisms of hypoxemia".)</w:t>
      </w:r>
    </w:p>
    <w:p w14:paraId="152CA9C6"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lastRenderedPageBreak/>
        <w:t>●</w:t>
      </w:r>
      <w:r w:rsidRPr="003A42EC">
        <w:rPr>
          <w:rFonts w:ascii="Arial" w:eastAsia="Times New Roman" w:hAnsi="Arial" w:cs="Arial"/>
          <w:b/>
          <w:bCs/>
          <w:color w:val="000000"/>
          <w:sz w:val="21"/>
          <w:szCs w:val="21"/>
        </w:rPr>
        <w:t>Cardiovascular compromise</w:t>
      </w:r>
      <w:r w:rsidRPr="003A42EC">
        <w:rPr>
          <w:rFonts w:ascii="Arial" w:eastAsia="Times New Roman" w:hAnsi="Arial" w:cs="Arial"/>
          <w:color w:val="000000"/>
          <w:sz w:val="21"/>
          <w:szCs w:val="21"/>
        </w:rPr>
        <w:t> – Hypotension from PE is due to diminished stroke volume and cardiac output. In patients with PE, pulmonary vascular resistance (PVR) is increased due to physical obstruction of the vascular bed with thrombus and hypoxic vasoconstriction within the pulmonary arterial system. Increased PVR, in turn, impedes right ventricular outflow and causes right ventricular dilation and flattening or bowing of the intraventricular septum. Both diminished flow from the right ventricle and right ventricular dilation reduce left ventricular preload thereby compromising cardiac output.</w:t>
      </w:r>
    </w:p>
    <w:p w14:paraId="6D79C5C0"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Arial" w:eastAsia="Times New Roman" w:hAnsi="Arial" w:cs="Arial"/>
          <w:color w:val="000000"/>
          <w:sz w:val="21"/>
          <w:szCs w:val="21"/>
        </w:rPr>
        <w:t>As an example, when obstruction of the pulmonary vascular bed approaches 75 percent, the right ventricle must generate a systolic pressure in excess of 50 mmHg to preserve adequate pulmonary artery flow [49]. When the right ventricle is unable to accomplish this, it fails and hypotension ensues. Thus, in patients without underlying cardiopulmonary disease, multiple large thrombi are generally responsible for hypotension via this mechanism. In contrast, in patients with underlying cardiopulmonary disease, hypotension can be induced by smaller emboli, likely due to a substantial vasoconstrictive response and/or an inability of the right ventricle to generate sufficient pressure to combat high PVR.</w:t>
      </w:r>
    </w:p>
    <w:p w14:paraId="73A4591F"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b/>
          <w:bCs/>
          <w:color w:val="000000"/>
          <w:sz w:val="21"/>
          <w:szCs w:val="21"/>
        </w:rPr>
        <w:t>CLINICAL PRESENTATION, EVALUATION, AND DIAGNOSIS</w:t>
      </w:r>
    </w:p>
    <w:p w14:paraId="02FBFC91"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b/>
          <w:bCs/>
          <w:color w:val="000000"/>
          <w:sz w:val="21"/>
          <w:szCs w:val="21"/>
        </w:rPr>
        <w:t>Clinical presentation</w:t>
      </w:r>
      <w:r w:rsidRPr="003A42EC">
        <w:rPr>
          <w:rFonts w:ascii="Arial" w:eastAsia="Times New Roman" w:hAnsi="Arial" w:cs="Arial"/>
          <w:color w:val="000000"/>
          <w:sz w:val="21"/>
          <w:szCs w:val="21"/>
        </w:rPr>
        <w:t> — Pulmonary embolism (PE) has a wide variety of presenting features, ranging from no symptoms to shock or sudden death. The most common presenting symptom is dyspnea followed by chest pain (classically pleuritic in nature), cough, and symptoms of deep venous thrombosis. Hemoptysis is an unusual presenting symptom. Rarely do patients present with shock, arrhythmia, or syncope. Many patients, including some with large PE, are asymptomatic or have mild or nonspecific symptoms. Thus, it is critical that a high level of suspicion be maintained such that clinically relevant cases are not missed. The signs and symptoms of PE are discussed in detail separately. (See "Clinical presentation, evaluation, and diagnosis of the nonpregnant adult with suspected acute pulmonary embolism", section on 'Clinical presentation'.)</w:t>
      </w:r>
    </w:p>
    <w:p w14:paraId="1814F55C"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b/>
          <w:bCs/>
          <w:color w:val="000000"/>
          <w:sz w:val="21"/>
          <w:szCs w:val="21"/>
        </w:rPr>
        <w:t>Diagnostic approach to patients with suspected PE</w:t>
      </w:r>
      <w:r w:rsidRPr="003A42EC">
        <w:rPr>
          <w:rFonts w:ascii="Arial" w:eastAsia="Times New Roman" w:hAnsi="Arial" w:cs="Arial"/>
          <w:color w:val="000000"/>
          <w:sz w:val="21"/>
          <w:szCs w:val="21"/>
        </w:rPr>
        <w:t> — For most patients with suspected PE who are hemodynamically stable, we suggest an approach which combines clinical and pretest probability assessment (calculator 1) (table 2), D-dimer testing, and definitive diagnostic imaging (algorithm 1 and algorithm 2 and algorithm 3). Definitive imaging includes computed tomographic pulmonary angiography and less commonly, ventilation perfusion scanning or other imaging modalities. For patients who are hemodynamically unstable and in whom definitive imaging is unsafe, bedside echocardiography or venous compression ultrasound may be used to obtain a presumptive diagnosis of PE to justify the administration of potentially life-saving therapies.</w:t>
      </w:r>
    </w:p>
    <w:p w14:paraId="7715841E"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color w:val="000000"/>
          <w:sz w:val="21"/>
          <w:szCs w:val="21"/>
        </w:rPr>
        <w:t>Details regarding the evaluation and diagnostic approach to patients with suspected PE are discussed separately. (See "Clinical presentation, evaluation, and diagnosis of the nonpregnant adult with suspected acute pulmonary embolism".) (Related Pathway(s): </w:t>
      </w:r>
      <w:hyperlink r:id="rId9" w:history="1">
        <w:r w:rsidRPr="003A42EC">
          <w:rPr>
            <w:rFonts w:ascii="Arial" w:eastAsia="Times New Roman" w:hAnsi="Arial" w:cs="Arial"/>
            <w:color w:val="00905A"/>
            <w:sz w:val="21"/>
            <w:szCs w:val="21"/>
            <w:u w:val="single"/>
          </w:rPr>
          <w:t>Pulmonary embolism: Diagnostic evaluation in adults who are hemodynamically stable</w:t>
        </w:r>
      </w:hyperlink>
      <w:r w:rsidRPr="003A42EC">
        <w:rPr>
          <w:rFonts w:ascii="Arial" w:eastAsia="Times New Roman" w:hAnsi="Arial" w:cs="Arial"/>
          <w:color w:val="000000"/>
          <w:sz w:val="21"/>
          <w:szCs w:val="21"/>
        </w:rPr>
        <w:t> and </w:t>
      </w:r>
      <w:hyperlink r:id="rId10" w:history="1">
        <w:r w:rsidRPr="003A42EC">
          <w:rPr>
            <w:rFonts w:ascii="Arial" w:eastAsia="Times New Roman" w:hAnsi="Arial" w:cs="Arial"/>
            <w:color w:val="00905A"/>
            <w:sz w:val="21"/>
            <w:szCs w:val="21"/>
            <w:u w:val="single"/>
          </w:rPr>
          <w:t>Pulmonary embolism: Diagnostic evaluation in adults who are hemodynamically unstable despite resuscitative efforts</w:t>
        </w:r>
      </w:hyperlink>
      <w:r w:rsidRPr="003A42EC">
        <w:rPr>
          <w:rFonts w:ascii="Arial" w:eastAsia="Times New Roman" w:hAnsi="Arial" w:cs="Arial"/>
          <w:color w:val="000000"/>
          <w:sz w:val="21"/>
          <w:szCs w:val="21"/>
        </w:rPr>
        <w:t>.)</w:t>
      </w:r>
    </w:p>
    <w:p w14:paraId="0F7A5E80"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b/>
          <w:bCs/>
          <w:color w:val="000000"/>
          <w:sz w:val="21"/>
          <w:szCs w:val="21"/>
        </w:rPr>
        <w:t>TREATMENT</w:t>
      </w:r>
      <w:r w:rsidRPr="003A42EC">
        <w:rPr>
          <w:rFonts w:ascii="Arial" w:eastAsia="Times New Roman" w:hAnsi="Arial" w:cs="Arial"/>
          <w:color w:val="000000"/>
          <w:sz w:val="21"/>
          <w:szCs w:val="21"/>
        </w:rPr>
        <w:t xml:space="preserve"> — When a patient presents with suspected acute pulmonary embolism (PE), initial resuscitative therapy should focus upon oxygenating and stabilizing the patient. Resuscitative </w:t>
      </w:r>
      <w:r w:rsidRPr="003A42EC">
        <w:rPr>
          <w:rFonts w:ascii="Arial" w:eastAsia="Times New Roman" w:hAnsi="Arial" w:cs="Arial"/>
          <w:color w:val="000000"/>
          <w:sz w:val="21"/>
          <w:szCs w:val="21"/>
        </w:rPr>
        <w:lastRenderedPageBreak/>
        <w:t>therapy may range from supplemental oxygen to ventilatory support, hemodynamic support. An overview of the general measures used to resuscitate patients with suspected PE is discussed in detail separately. (See "Treatment, prognosis, and follow-up of acute pulmonary embolism in adults".)</w:t>
      </w:r>
    </w:p>
    <w:p w14:paraId="648801AE"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color w:val="000000"/>
          <w:sz w:val="21"/>
          <w:szCs w:val="21"/>
        </w:rPr>
        <w:t>Once the diagnosis is made, the mainstay of therapy for patients with confirmed PE is anticoagulation, depending upon the risk of bleeding. When the pre-test probability of PE is high or diagnostic imaging will be delayed, anticoagulation is sometimes started before a diagnosis of PE is confirmed. Data that support initial, long-term, and indefinite anticoagulation, and factors that determine whether or not a patient can be treated in the outpatient setting, are discussed separately. (See "Rationale and indications for indefinite anticoagulation in patients with venous thromboembolism" and "Treatment, prognosis, and follow-up of acute pulmonary embolism in adults", section on 'Outpatient anticoagulation' and "Venous thromboembolism: Initiation of anticoagulation (first 10 days)".) (Related Pathway(s): </w:t>
      </w:r>
      <w:hyperlink r:id="rId11" w:history="1">
        <w:r w:rsidRPr="003A42EC">
          <w:rPr>
            <w:rFonts w:ascii="Arial" w:eastAsia="Times New Roman" w:hAnsi="Arial" w:cs="Arial"/>
            <w:color w:val="00905A"/>
            <w:sz w:val="21"/>
            <w:szCs w:val="21"/>
            <w:u w:val="single"/>
          </w:rPr>
          <w:t>Pulmonary embolism (confirmed or suspected): Initial management of hemodynamically stable adults</w:t>
        </w:r>
      </w:hyperlink>
      <w:r w:rsidRPr="003A42EC">
        <w:rPr>
          <w:rFonts w:ascii="Arial" w:eastAsia="Times New Roman" w:hAnsi="Arial" w:cs="Arial"/>
          <w:color w:val="000000"/>
          <w:sz w:val="21"/>
          <w:szCs w:val="21"/>
        </w:rPr>
        <w:t> and </w:t>
      </w:r>
      <w:hyperlink r:id="rId12" w:history="1">
        <w:r w:rsidRPr="003A42EC">
          <w:rPr>
            <w:rFonts w:ascii="Arial" w:eastAsia="Times New Roman" w:hAnsi="Arial" w:cs="Arial"/>
            <w:color w:val="00905A"/>
            <w:sz w:val="21"/>
            <w:szCs w:val="21"/>
            <w:u w:val="single"/>
          </w:rPr>
          <w:t>Pulmonary embolism (confirmed or suspected): Initial management of hemodynamically unstable adults</w:t>
        </w:r>
      </w:hyperlink>
      <w:r w:rsidRPr="003A42EC">
        <w:rPr>
          <w:rFonts w:ascii="Arial" w:eastAsia="Times New Roman" w:hAnsi="Arial" w:cs="Arial"/>
          <w:color w:val="000000"/>
          <w:sz w:val="21"/>
          <w:szCs w:val="21"/>
        </w:rPr>
        <w:t>.)</w:t>
      </w:r>
    </w:p>
    <w:p w14:paraId="50B55E5B"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color w:val="000000"/>
          <w:sz w:val="21"/>
          <w:szCs w:val="21"/>
        </w:rPr>
        <w:t>Patients with life-threatening PE may require additional treatment beyond anticoagulation, including thrombolysis, inferior vena cava filters, and embolectomy. Select populations that require specific anticoagulation or alternative treatment strategies include:</w:t>
      </w:r>
    </w:p>
    <w:p w14:paraId="58F1A359"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Patients with malignancy (see "Anticoagulation therapy for venous thromboembolism (lower extremity venous thrombosis and pulmonary embolism) in adult patients with malignancy")</w:t>
      </w:r>
    </w:p>
    <w:p w14:paraId="49146273"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Patients who are pregnant (see "Deep vein thrombosis and pulmonary embolism in pregnancy: Treatment" and "Use of anticoagulants during pregnancy and postpartum")</w:t>
      </w:r>
    </w:p>
    <w:p w14:paraId="2E11BCCE"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Patients with heparin-induced thrombocytopenia (see "Clinical presentation and diagnosis of heparin-induced thrombocytopenia" and "Management of heparin-induced thrombocytopenia")</w:t>
      </w:r>
    </w:p>
    <w:p w14:paraId="7984FB4E"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Patients with a contraindication to anticoagulation (inferior vena cava filter placement) (see "Overview of the treatment of lower extremity deep vein thrombosis (DVT)", section on 'Inferior vena cava filter' and "Placement of vena cava filters and their complications")</w:t>
      </w:r>
    </w:p>
    <w:p w14:paraId="7DA9E2AF"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Patients who are hemodynamically unstable or fail anticoagulation (thrombolytic therapy and/or embolectomy) (see "Thrombolytic (fibrinolytic) therapy in acute pulmonary embolism and lower extremity deep vein thrombosis" and "Treatment, prognosis, and follow-up of acute pulmonary embolism in adults", section on 'Embolectomy')</w:t>
      </w:r>
    </w:p>
    <w:p w14:paraId="796A3D72"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b/>
          <w:bCs/>
          <w:color w:val="000000"/>
          <w:sz w:val="21"/>
          <w:szCs w:val="21"/>
        </w:rPr>
        <w:t>PROGNOSIS</w:t>
      </w:r>
      <w:r w:rsidRPr="003A42EC">
        <w:rPr>
          <w:rFonts w:ascii="Arial" w:eastAsia="Times New Roman" w:hAnsi="Arial" w:cs="Arial"/>
          <w:color w:val="000000"/>
          <w:sz w:val="21"/>
          <w:szCs w:val="21"/>
        </w:rPr>
        <w:t> — The major adverse outcomes associated with pulmonary embolism (PE) include the following:</w:t>
      </w:r>
    </w:p>
    <w:p w14:paraId="7BC43193"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 xml:space="preserve">Recurrent thromboembolism – The recurrence rate depends upon factors including adequate therapeutic anticoagulation and the clinical nature of the embolic event (eg, provoked, unprovoked), the details of which are discussed separately. (See "Rationale and indications for </w:t>
      </w:r>
      <w:r w:rsidRPr="003A42EC">
        <w:rPr>
          <w:rFonts w:ascii="Arial" w:eastAsia="Times New Roman" w:hAnsi="Arial" w:cs="Arial"/>
          <w:color w:val="000000"/>
          <w:sz w:val="21"/>
          <w:szCs w:val="21"/>
        </w:rPr>
        <w:lastRenderedPageBreak/>
        <w:t>indefinite anticoagulation in patients with venous thromboembolism", section on 'Assessing the risk of recurrence'.)</w:t>
      </w:r>
    </w:p>
    <w:p w14:paraId="30AEDBA6"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Chronic thromboembolic pulmonary hypertension (CTEPH) – CTEPH is an uncommon (1 to 4 percent) late outcome of patients with PE. The prognosis of patients with CTEPH is discussed separately. (See "Overview of the treatment of chronic thromboembolic pulmonary hypertension".)  </w:t>
      </w:r>
    </w:p>
    <w:p w14:paraId="3F2D43E6"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Death – PE left untreated, is associated with an overall mortality of up to 30 percent. Mortality is significantly reduced with anticoagulation. Most deaths attributable to PE occur during the first week following diagnosis (early mortality) and are due to recurrent venous thromboembolism and shock. However, many deaths following PE are due to predisposing comorbidities or are multifactorial. One study demonstrated increased risk of death for up to eight years in patients without comorbidities [50], while other studies have reported that mortality remains increased for as long as 30 years (long-term mortality) with death mostly due to predisposing comorbidities (eg, cardiovascular disease, malignancy, sepsis) [21]. Details regarding the mortality of patients diagnosed with PE are discussed separately. (See "Treatment, prognosis, and follow-up of acute pulmonary embolism in adults", section on 'Morbidity and mortality'.)</w:t>
      </w:r>
    </w:p>
    <w:p w14:paraId="4692AB2A"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color w:val="000000"/>
          <w:sz w:val="21"/>
          <w:szCs w:val="21"/>
        </w:rPr>
        <w:t>Prognostic models that incorporate clinical findings with or without laboratory tests can predict death and/or recurrence. Among prognostic models, the Pulmonary Embolism Severity Index (PESI) and the simplified PESI (sPESI) are the most well known (table 3) and predict all-cause mortality after PE. A detailed discussion of the prognostic value of these and other models is presented separately. (See "Treatment, prognosis, and follow-up of acute pulmonary embolism in adults", section on 'Prognostic factors' and "Treatment, prognosis, and follow-up of acute pulmonary embolism in adults", section on 'Prognostic models'.)</w:t>
      </w:r>
    </w:p>
    <w:p w14:paraId="03BD5795"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b/>
          <w:bCs/>
          <w:color w:val="000000"/>
          <w:sz w:val="21"/>
          <w:szCs w:val="21"/>
        </w:rPr>
        <w:t>MONITORING AND FOLLOWUP</w:t>
      </w:r>
      <w:r w:rsidRPr="003A42EC">
        <w:rPr>
          <w:rFonts w:ascii="Arial" w:eastAsia="Times New Roman" w:hAnsi="Arial" w:cs="Arial"/>
          <w:color w:val="000000"/>
          <w:sz w:val="21"/>
          <w:szCs w:val="21"/>
        </w:rPr>
        <w:t> — Patients with pulmonary embolism (PE) should be monitored for the following:</w:t>
      </w:r>
    </w:p>
    <w:p w14:paraId="11D5A322"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Laboratory evidence of therapeutic efficacy in patients receiving unfractionated heparin and/or warfarin. (See "Warfarin and other VKAs: Dosing and adverse effects", section on 'Warfarin administration'and "Direct oral anticoagulants and parenteral direct thrombin inhibitors: Dosing and adverse effects" and "Heparin and LMW heparin: Dosing and adverse effects", section on 'Laboratory monitoring and dose titration (unfractionated heparin)'.)</w:t>
      </w:r>
    </w:p>
    <w:p w14:paraId="4BE00513"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Early complications of PE, predominantly recurrent thromboembolism and progression of the diagnosed PE. (See "Clinical presentation, evaluation, and diagnosis of the nonpregnant adult with suspected acute pulmonary embolism", section on 'Clinical presentation'.) Patients with confirmed recurrent PE while on therapy should be evaluated for sub-therapeutic anticoagulation or, if anticoagulation is adequate, other causes of recurrence. Investigating and managing the early complications of PE, including recurrence, are discussed separately. (See "Treatment, prognosis, and follow-up of acute pulmonary embolism in adults", section on 'Monitoring and follow-up' and "Treatment, prognosis, and follow-up of acute pulmonary embolism in adults", section on 'Management of recurrence on therapy'.)</w:t>
      </w:r>
    </w:p>
    <w:p w14:paraId="6C2F8CCE"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lastRenderedPageBreak/>
        <w:t>●</w:t>
      </w:r>
      <w:r w:rsidRPr="003A42EC">
        <w:rPr>
          <w:rFonts w:ascii="Arial" w:eastAsia="Times New Roman" w:hAnsi="Arial" w:cs="Arial"/>
          <w:color w:val="000000"/>
          <w:sz w:val="21"/>
          <w:szCs w:val="21"/>
        </w:rPr>
        <w:t>Late complications of PE, mostly, chronic thromboembolic pulmonary hypertension CTEPH. Most patients who develop CTEPH do so in the first two years following PE and the diagnosis is usually suspected clinically because of persistent symptoms. The clinical presentation and diagnosis of CTEPH are discussed separately. (See "Clinical manifestations and diagnosis of chronic thromboembolic pulmonary hypertension".)</w:t>
      </w:r>
    </w:p>
    <w:p w14:paraId="7739B20B"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Complications of therapy for PE, including bleeding and adverse effects of medication or devices. (See "Warfarin and other VKAs: Dosing and adverse effects", section on 'Complications' and "Direct oral anticoagulants and parenteral direct thrombin inhibitors: Dosing and adverse effects" and "Placement of vena cava filters and their complications", section on 'Complications' and "Treatment, prognosis, and follow-up of acute pulmonary embolism in adults", section on 'Embolectomy' and "Heparin and LMW heparin: Dosing and adverse effects", section on 'Other complications' and "Management of warfarin-associated bleeding or supratherapeutic INR", section on 'Mitigating bleeding risk' and "Risks and prevention of bleeding with oral anticoagulants" and "Thrombolytic (fibrinolytic) therapy in acute pulmonary embolism and lower extremity deep vein thrombosis".)</w:t>
      </w:r>
    </w:p>
    <w:p w14:paraId="7B704FE5"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The risk of recurrence and bleeding. The risk of recurrence and bleeding should be periodically assessed during therapy and, again, at the end of therapy to assess the need for indefinite anticoagulation. Assessing recurrence and bleeding risk as well as indications for indefinite anticoagulation are discussed separately. (See "Rationale and indications for indefinite anticoagulation in patients with venous thromboembolism", section on 'Making the decision to indefinitely anticoagulate'.)</w:t>
      </w:r>
    </w:p>
    <w:p w14:paraId="1EB606CB"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The need for device removal. Patients who had an inferior vena cava filter placed because anticoagulation was contraindicated should, once the contraindication has resolved, initiate anticoagulant therapy and have the filter retrieved, if feasible. (See "Placement of vena cava filters and their complications", section on 'Filter retrieval'.)</w:t>
      </w:r>
    </w:p>
    <w:p w14:paraId="482F644D"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b/>
          <w:bCs/>
          <w:color w:val="000000"/>
          <w:sz w:val="21"/>
          <w:szCs w:val="21"/>
        </w:rPr>
        <w:t>SOCIETY GUIDELINE LINKS</w:t>
      </w:r>
      <w:r w:rsidRPr="003A42EC">
        <w:rPr>
          <w:rFonts w:ascii="Arial" w:eastAsia="Times New Roman" w:hAnsi="Arial" w:cs="Arial"/>
          <w:color w:val="000000"/>
          <w:sz w:val="21"/>
          <w:szCs w:val="21"/>
        </w:rPr>
        <w:t> — Links to society and government-sponsored guidelines from selected countries and regions around the world are provided separately. (See "Society guideline links: Superficial vein thrombosis, deep vein thrombosis, and pulmonary embolism".)</w:t>
      </w:r>
    </w:p>
    <w:p w14:paraId="5D27AD8C"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b/>
          <w:bCs/>
          <w:color w:val="000000"/>
          <w:sz w:val="21"/>
          <w:szCs w:val="21"/>
        </w:rPr>
        <w:t>INFORMATION FOR PATIENTS</w:t>
      </w:r>
      <w:r w:rsidRPr="003A42EC">
        <w:rPr>
          <w:rFonts w:ascii="Arial" w:eastAsia="Times New Roman" w:hAnsi="Arial" w:cs="Arial"/>
          <w:color w:val="000000"/>
          <w:sz w:val="21"/>
          <w:szCs w:val="21"/>
        </w:rPr>
        <w:t> — UpToDate offers two types of patient education materials, "The Basics" and "Beyond the Basics." The Basics patient education pieces are written in plain language, at the 5</w:t>
      </w:r>
      <w:r w:rsidRPr="003A42EC">
        <w:rPr>
          <w:rFonts w:ascii="Arial" w:eastAsia="Times New Roman" w:hAnsi="Arial" w:cs="Arial"/>
          <w:color w:val="000000"/>
          <w:sz w:val="16"/>
          <w:szCs w:val="16"/>
          <w:vertAlign w:val="superscript"/>
        </w:rPr>
        <w:t>th</w:t>
      </w:r>
      <w:r w:rsidRPr="003A42EC">
        <w:rPr>
          <w:rFonts w:ascii="Arial" w:eastAsia="Times New Roman" w:hAnsi="Arial" w:cs="Arial"/>
          <w:color w:val="000000"/>
          <w:sz w:val="21"/>
          <w:szCs w:val="21"/>
        </w:rPr>
        <w:t> to 6</w:t>
      </w:r>
      <w:r w:rsidRPr="003A42EC">
        <w:rPr>
          <w:rFonts w:ascii="Arial" w:eastAsia="Times New Roman" w:hAnsi="Arial" w:cs="Arial"/>
          <w:color w:val="000000"/>
          <w:sz w:val="16"/>
          <w:szCs w:val="16"/>
          <w:vertAlign w:val="superscript"/>
        </w:rPr>
        <w:t>th</w:t>
      </w:r>
      <w:r w:rsidRPr="003A42EC">
        <w:rPr>
          <w:rFonts w:ascii="Arial" w:eastAsia="Times New Roman" w:hAnsi="Arial" w:cs="Arial"/>
          <w:color w:val="000000"/>
          <w:sz w:val="21"/>
          <w:szCs w:val="21"/>
        </w:rPr>
        <w:t> grade reading level, and they answer the four or five key questions a patient might have about a given condition. These articles are best for patients who want a general overview and who prefer short, easy-to-read materials. Beyond the Basics patient education pieces are longer, more sophisticated, and more detailed. These articles are written at the 10</w:t>
      </w:r>
      <w:r w:rsidRPr="003A42EC">
        <w:rPr>
          <w:rFonts w:ascii="Arial" w:eastAsia="Times New Roman" w:hAnsi="Arial" w:cs="Arial"/>
          <w:color w:val="000000"/>
          <w:sz w:val="16"/>
          <w:szCs w:val="16"/>
          <w:vertAlign w:val="superscript"/>
        </w:rPr>
        <w:t>th</w:t>
      </w:r>
      <w:r w:rsidRPr="003A42EC">
        <w:rPr>
          <w:rFonts w:ascii="Arial" w:eastAsia="Times New Roman" w:hAnsi="Arial" w:cs="Arial"/>
          <w:color w:val="000000"/>
          <w:sz w:val="21"/>
          <w:szCs w:val="21"/>
        </w:rPr>
        <w:t> to 12</w:t>
      </w:r>
      <w:r w:rsidRPr="003A42EC">
        <w:rPr>
          <w:rFonts w:ascii="Arial" w:eastAsia="Times New Roman" w:hAnsi="Arial" w:cs="Arial"/>
          <w:color w:val="000000"/>
          <w:sz w:val="16"/>
          <w:szCs w:val="16"/>
          <w:vertAlign w:val="superscript"/>
        </w:rPr>
        <w:t>th</w:t>
      </w:r>
      <w:r w:rsidRPr="003A42EC">
        <w:rPr>
          <w:rFonts w:ascii="Arial" w:eastAsia="Times New Roman" w:hAnsi="Arial" w:cs="Arial"/>
          <w:color w:val="000000"/>
          <w:sz w:val="21"/>
          <w:szCs w:val="21"/>
        </w:rPr>
        <w:t> grade reading level and are best for patients who want in-depth information and are comfortable with some medical jargon.</w:t>
      </w:r>
    </w:p>
    <w:p w14:paraId="5639A9F3"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color w:val="000000"/>
          <w:sz w:val="21"/>
          <w:szCs w:val="21"/>
        </w:rPr>
        <w:t>Here are the patient education articles that are relevant to this topic. We encourage you to print or e-mail these topics to your patients. (You can also locate patient education articles on a variety of subjects by searching on "patient info" and the keyword(s) of interest.)</w:t>
      </w:r>
    </w:p>
    <w:p w14:paraId="7D39C429"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lastRenderedPageBreak/>
        <w:t>●</w:t>
      </w:r>
      <w:r w:rsidRPr="003A42EC">
        <w:rPr>
          <w:rFonts w:ascii="Arial" w:eastAsia="Times New Roman" w:hAnsi="Arial" w:cs="Arial"/>
          <w:color w:val="000000"/>
          <w:sz w:val="21"/>
          <w:szCs w:val="21"/>
        </w:rPr>
        <w:t>Basics topics (see "Patient education: Pulmonary embolism (blood clot in the lungs) (The Basics)")</w:t>
      </w:r>
    </w:p>
    <w:p w14:paraId="2C2766E3"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Beyond the Basics topics (see "Patient education: Pulmonary embolism (Beyond the Basics)")</w:t>
      </w:r>
    </w:p>
    <w:p w14:paraId="7EA2CE08"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b/>
          <w:bCs/>
          <w:color w:val="000000"/>
          <w:sz w:val="21"/>
          <w:szCs w:val="21"/>
        </w:rPr>
        <w:t>SUMMARY AND RECOMMENDATIONS</w:t>
      </w:r>
    </w:p>
    <w:p w14:paraId="46C6F241"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Pulmonary embolism (PE) is a common and sometimes fatal disease. It is due to obstruction of a pulmonary artery or one of its branches by material (eg, thrombus, tumor, air, or fat) that originated elsewhere in the body. (See 'Definition' above.)</w:t>
      </w:r>
    </w:p>
    <w:p w14:paraId="59489070"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PE can be classified according to the presence or absence of hemodynamic stability (hemodynamically unstable or stable), the temporal pattern of presentation (acute, subacute, or chronic), the anatomic location (saddle, lobar, segmental, subsegmental), and the presence or absence of symptoms (symptomatic or asymptomatic). Patients with hemodynamically unstable PE, defined as a systolic blood pressure &lt;90 mmHg or a drop in systolic blood pressure of ≥40 mmHg from baseline for &gt;15 minutes, should be distinguished from patients with hemodynamically stable PE because they are more likely to die from obstructive shock in the first two hours of presentation and may therefore benefit from more aggressive treatment. (See 'Nomenclature' above.)</w:t>
      </w:r>
    </w:p>
    <w:p w14:paraId="4FD9F6F2"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The overall incidence of PE is approximately 112 cases per 100,000. PE is slightly more common in males than females and incidence increases with age. Deaths from PE account for approximately 100,000 deaths per year in the United States. (See 'Epidemiology' above.)</w:t>
      </w:r>
    </w:p>
    <w:p w14:paraId="77E38F15"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The pathogenesis of PE is similar to that of deep venous thrombosis. Most emboli arise from lower extremity proximal veins (iliac, femoral, and popliteal) (table 1). However, they may also originate in right heart, inferior vena cava or the pelvic veins, and in the renal and upper extremity veins. (See "Overview of the causes of venous thrombosis" and 'Pathogenesis and pathophysiology' above.)</w:t>
      </w:r>
    </w:p>
    <w:p w14:paraId="6FF50B6B"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PE has a wide variety of presenting features, ranging from no symptoms to shock or sudden death. The most common presenting symptom is dyspnea followed by chest pain, cough, and symptoms of deep venous thrombosis. (See "Clinical presentation, evaluation, and diagnosis of the nonpregnant adult with suspected acute pulmonary embolism" and 'Clinical presentation, evaluation, and diagnosis' above.)</w:t>
      </w:r>
    </w:p>
    <w:p w14:paraId="26C3EC34"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Arial" w:eastAsia="Times New Roman" w:hAnsi="Arial" w:cs="Arial"/>
          <w:color w:val="000000"/>
          <w:sz w:val="21"/>
          <w:szCs w:val="21"/>
        </w:rPr>
        <w:t>For most patients with suspected PE we suggest an approach which combines clinical and pretest probability assessment (calculator 1) (table 2), D-dimer testing, and definitive diagnostic imaging, usually computed tomographic pulmonary angiography and, less commonly, ventilation perfusion scanning (algorithm 1 and algorithm 2 and algorithm 3). (See "Clinical presentation, evaluation, and diagnosis of the nonpregnant adult with suspected acute pulmonary embolism" and 'Diagnostic approach to patients with suspected PE' above.) (Related Pathway(s): </w:t>
      </w:r>
      <w:hyperlink r:id="rId13" w:history="1">
        <w:r w:rsidRPr="003A42EC">
          <w:rPr>
            <w:rFonts w:ascii="Arial" w:eastAsia="Times New Roman" w:hAnsi="Arial" w:cs="Arial"/>
            <w:color w:val="00905A"/>
            <w:sz w:val="21"/>
            <w:szCs w:val="21"/>
            <w:u w:val="single"/>
          </w:rPr>
          <w:t>Pulmonary embolism: Diagnostic evaluation in adults who are hemodynamically stable</w:t>
        </w:r>
      </w:hyperlink>
      <w:r w:rsidRPr="003A42EC">
        <w:rPr>
          <w:rFonts w:ascii="Arial" w:eastAsia="Times New Roman" w:hAnsi="Arial" w:cs="Arial"/>
          <w:color w:val="000000"/>
          <w:sz w:val="21"/>
          <w:szCs w:val="21"/>
        </w:rPr>
        <w:t> and </w:t>
      </w:r>
      <w:hyperlink r:id="rId14" w:history="1">
        <w:r w:rsidRPr="003A42EC">
          <w:rPr>
            <w:rFonts w:ascii="Arial" w:eastAsia="Times New Roman" w:hAnsi="Arial" w:cs="Arial"/>
            <w:color w:val="00905A"/>
            <w:sz w:val="21"/>
            <w:szCs w:val="21"/>
            <w:u w:val="single"/>
          </w:rPr>
          <w:t>Pulmonary embolism: Diagnostic evaluation in adults who are hemodynamically unstable despite resuscitative efforts</w:t>
        </w:r>
      </w:hyperlink>
      <w:r w:rsidRPr="003A42EC">
        <w:rPr>
          <w:rFonts w:ascii="Arial" w:eastAsia="Times New Roman" w:hAnsi="Arial" w:cs="Arial"/>
          <w:color w:val="000000"/>
          <w:sz w:val="21"/>
          <w:szCs w:val="21"/>
        </w:rPr>
        <w:t>.)</w:t>
      </w:r>
    </w:p>
    <w:p w14:paraId="454942C2"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lastRenderedPageBreak/>
        <w:t>●</w:t>
      </w:r>
      <w:r w:rsidRPr="003A42EC">
        <w:rPr>
          <w:rFonts w:ascii="Arial" w:eastAsia="Times New Roman" w:hAnsi="Arial" w:cs="Arial"/>
          <w:color w:val="000000"/>
          <w:sz w:val="21"/>
          <w:szCs w:val="21"/>
        </w:rPr>
        <w:t>Initial resuscitative therapy for patients with suspected PE should focus upon oxygenating and stabilizing the patient. Once the diagnosis is made, the mainstay of therapy for patients with confirmed PE is anticoagulation, depending upon the risk of bleeding. Alternative treatments include thrombolysis, inferior vena cava filters, and embolectomy. (See "Treatment, prognosis, and follow-up of acute pulmonary embolism in adults" and 'Treatment' above.) (Related Pathway(s): </w:t>
      </w:r>
      <w:hyperlink r:id="rId15" w:history="1">
        <w:r w:rsidRPr="003A42EC">
          <w:rPr>
            <w:rFonts w:ascii="Arial" w:eastAsia="Times New Roman" w:hAnsi="Arial" w:cs="Arial"/>
            <w:color w:val="00905A"/>
            <w:sz w:val="21"/>
            <w:szCs w:val="21"/>
            <w:u w:val="single"/>
          </w:rPr>
          <w:t>Pulmonary embolism (confirmed or suspected): Initial management of hemodynamically stable adults</w:t>
        </w:r>
      </w:hyperlink>
      <w:r w:rsidRPr="003A42EC">
        <w:rPr>
          <w:rFonts w:ascii="Arial" w:eastAsia="Times New Roman" w:hAnsi="Arial" w:cs="Arial"/>
          <w:color w:val="000000"/>
          <w:sz w:val="21"/>
          <w:szCs w:val="21"/>
        </w:rPr>
        <w:t> and </w:t>
      </w:r>
      <w:hyperlink r:id="rId16" w:history="1">
        <w:r w:rsidRPr="003A42EC">
          <w:rPr>
            <w:rFonts w:ascii="Arial" w:eastAsia="Times New Roman" w:hAnsi="Arial" w:cs="Arial"/>
            <w:color w:val="00905A"/>
            <w:sz w:val="21"/>
            <w:szCs w:val="21"/>
            <w:u w:val="single"/>
          </w:rPr>
          <w:t>Pulmonary embolism (confirmed or suspected): Initial management of hemodynamically unstable adults</w:t>
        </w:r>
      </w:hyperlink>
      <w:r w:rsidRPr="003A42EC">
        <w:rPr>
          <w:rFonts w:ascii="Arial" w:eastAsia="Times New Roman" w:hAnsi="Arial" w:cs="Arial"/>
          <w:color w:val="000000"/>
          <w:sz w:val="21"/>
          <w:szCs w:val="21"/>
        </w:rPr>
        <w:t>.)</w:t>
      </w:r>
    </w:p>
    <w:p w14:paraId="2692EB56"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PE can be complicated by recurrent thrombosis, chronic thromboembolic pulmonary hypertension (CTEPH), and death. PE left untreated, has an overall mortality of up to 30 percent, which is significantly reduced with anticoagulation. Prognostic models that incorporate clinical findings (eg, Pulmonary Embolism Severity Index [PESI] and the simplified PESI [sPESI] (table 3)) with or without laboratory tests can predict death and/or recurrence. (See "Treatment, prognosis, and follow-up of acute pulmonary embolism in adults", section on 'Prognosis' and 'Prognosis' above.)</w:t>
      </w:r>
    </w:p>
    <w:p w14:paraId="6D5B1A6E" w14:textId="77777777" w:rsidR="003A42EC" w:rsidRPr="003A42EC" w:rsidRDefault="003A42EC" w:rsidP="003A42EC">
      <w:pPr>
        <w:shd w:val="clear" w:color="auto" w:fill="FFFFFF"/>
        <w:spacing w:before="216" w:after="216" w:line="291" w:lineRule="atLeast"/>
        <w:ind w:left="480"/>
        <w:rPr>
          <w:rFonts w:ascii="Arial" w:eastAsia="Times New Roman" w:hAnsi="Arial" w:cs="Arial"/>
          <w:color w:val="000000"/>
          <w:sz w:val="21"/>
          <w:szCs w:val="21"/>
        </w:rPr>
      </w:pPr>
      <w:r w:rsidRPr="003A42EC">
        <w:rPr>
          <w:rFonts w:ascii="Times New Roman" w:eastAsia="Times New Roman" w:hAnsi="Times New Roman" w:cs="Times New Roman"/>
          <w:color w:val="000000"/>
          <w:sz w:val="21"/>
          <w:szCs w:val="21"/>
        </w:rPr>
        <w:t>●</w:t>
      </w:r>
      <w:r w:rsidRPr="003A42EC">
        <w:rPr>
          <w:rFonts w:ascii="Arial" w:eastAsia="Times New Roman" w:hAnsi="Arial" w:cs="Arial"/>
          <w:color w:val="000000"/>
          <w:sz w:val="21"/>
          <w:szCs w:val="21"/>
        </w:rPr>
        <w:t>Patients treated with unfractionated heparin and/or warfarin should be monitored for laboratory evidence of therapeutic efficacy. In addition, patients should be monitored for the early and late complications of PE, as well as for the complications of anticoagulation and other definitive therapies. (See "Treatment, prognosis, and follow-up of acute pulmonary embolism in adults", section on 'Monitoring and follow-up' and "Treatment, prognosis, and follow-up of acute pulmonary embolism in adults", section on 'Management of recurrence on therapy' and 'Monitoring and followup' above.)</w:t>
      </w:r>
    </w:p>
    <w:p w14:paraId="5B11E625" w14:textId="77777777" w:rsidR="003A42EC" w:rsidRPr="003A42EC" w:rsidRDefault="003A42EC" w:rsidP="003A42EC">
      <w:pPr>
        <w:shd w:val="clear" w:color="auto" w:fill="FFFFFF"/>
        <w:spacing w:before="216" w:after="216" w:line="291" w:lineRule="atLeast"/>
        <w:rPr>
          <w:rFonts w:ascii="Arial" w:eastAsia="Times New Roman" w:hAnsi="Arial" w:cs="Arial"/>
          <w:color w:val="000000"/>
          <w:sz w:val="21"/>
          <w:szCs w:val="21"/>
        </w:rPr>
      </w:pPr>
      <w:r w:rsidRPr="003A42EC">
        <w:rPr>
          <w:rFonts w:ascii="Arial" w:eastAsia="Times New Roman" w:hAnsi="Arial" w:cs="Arial"/>
          <w:b/>
          <w:bCs/>
          <w:color w:val="000000"/>
          <w:sz w:val="21"/>
          <w:szCs w:val="21"/>
        </w:rPr>
        <w:t>ACKNOWLEDGMENT</w:t>
      </w:r>
      <w:r w:rsidRPr="003A42EC">
        <w:rPr>
          <w:rFonts w:ascii="Arial" w:eastAsia="Times New Roman" w:hAnsi="Arial" w:cs="Arial"/>
          <w:color w:val="000000"/>
          <w:sz w:val="21"/>
          <w:szCs w:val="21"/>
        </w:rPr>
        <w:t> — We are saddened by the death of Charles Hales, MD, who passed away in October 2015. UpToDate wishes to acknowledge Dr. Hales' past work as an author for this topic.</w:t>
      </w:r>
    </w:p>
    <w:p w14:paraId="58B700C4" w14:textId="77777777" w:rsidR="003A42EC" w:rsidRPr="003A42EC" w:rsidRDefault="003A42EC" w:rsidP="003A42EC">
      <w:pPr>
        <w:shd w:val="clear" w:color="auto" w:fill="FFFFFF"/>
        <w:spacing w:after="0" w:line="240" w:lineRule="auto"/>
        <w:jc w:val="center"/>
        <w:outlineLvl w:val="0"/>
        <w:rPr>
          <w:rFonts w:ascii="Arial" w:eastAsia="Times New Roman" w:hAnsi="Arial" w:cs="Arial"/>
          <w:b/>
          <w:bCs/>
          <w:color w:val="000000"/>
          <w:kern w:val="36"/>
          <w:sz w:val="21"/>
          <w:szCs w:val="21"/>
        </w:rPr>
      </w:pPr>
      <w:r w:rsidRPr="003A42EC">
        <w:rPr>
          <w:rFonts w:ascii="Arial" w:eastAsia="Times New Roman" w:hAnsi="Arial" w:cs="Arial"/>
          <w:b/>
          <w:bCs/>
          <w:color w:val="000000"/>
          <w:kern w:val="36"/>
          <w:sz w:val="21"/>
          <w:szCs w:val="21"/>
        </w:rPr>
        <w:t>REFERENCES</w:t>
      </w:r>
    </w:p>
    <w:p w14:paraId="7FA54B8C"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COON WW, WILLIS PW. Deep venous thrombosis and pulmonary embolism: prediction, prevention and treatment. Am J Cardiol 1959; 4:611.</w:t>
      </w:r>
    </w:p>
    <w:p w14:paraId="03502CBA"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Soloff LA, Rodman T. Acute pulmonary embolism. II. Clinical. Am Heart J 1967; 74:829.</w:t>
      </w:r>
    </w:p>
    <w:p w14:paraId="35D0A095"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Ryu JH, Pellikka PA, Froehling DA, et al. Saddle pulmonary embolism diagnosed by CT angiography: frequency, clinical features and outcome. Respir Med 2007; 101:1537.</w:t>
      </w:r>
    </w:p>
    <w:p w14:paraId="1FAD32C6"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Sardi A, Gluskin J, Guttentag A, et al. Saddle pulmonary embolism: is it as bad as it looks? A community hospital experience. Crit Care Med 2011; 39:2413.</w:t>
      </w:r>
    </w:p>
    <w:p w14:paraId="52819AB7"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Wiener RS, Schwartz LM, Woloshin S. Time trends in pulmonary embolism in the United States: evidence of overdiagnosis. Arch Intern Med 2011; 171:831.</w:t>
      </w:r>
    </w:p>
    <w:p w14:paraId="51192E94"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Kröger K, Küpper-Nybelen J, Moerchel C, et al. Prevalence and economic burden of pulmonary embolism in Germany. Vasc Med 2012; 17:303.</w:t>
      </w:r>
    </w:p>
    <w:p w14:paraId="4E1CC446"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Huang W, Goldberg RJ, Anderson FA, et al. Secular trends in occurrence of acute venous thromboembolism: the Worcester VTE study (1985-2009). Am J Med 2014; 127:829.</w:t>
      </w:r>
    </w:p>
    <w:p w14:paraId="40A28979"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Goldacre MJ, Roberts S, Yeates D, Griffith M. Hospital admission and mortality rates for venous thromboembolism in Oxford region, UK, 1975-98. Lancet 2000; 355:1968.</w:t>
      </w:r>
    </w:p>
    <w:p w14:paraId="3680AAD8"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Martinez C, Cohen AT, Bamber L, Rietbrock S. Epidemiology of first and recurrent venous thromboembolism: a population-based cohort study in patients without active cancer. Thromb Haemost 2014; 112:255.</w:t>
      </w:r>
    </w:p>
    <w:p w14:paraId="0126E9AE"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lastRenderedPageBreak/>
        <w:t>Alotaibi GS, Wu C, Senthilselvan A, McMurtry MS. Secular Trends in Incidence and Mortality of Acute Venous Thromboembolism: The AB-VTE Population-Based Study. Am J Med 2016; 129:879.e19.</w:t>
      </w:r>
    </w:p>
    <w:p w14:paraId="4CDF5715"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Konstantinides SV. Trends in incidence versus case fatality rates of pulmonary embolism: Good news or bad news? Thromb Haemost 2016; 115:233.</w:t>
      </w:r>
    </w:p>
    <w:p w14:paraId="2F1C942D"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Horlander KT, Mannino DM, Leeper KV. Pulmonary embolism mortality in the United States, 1979-1998: an analysis using multiple-cause mortality data. Arch Intern Med 2003; 163:1711.</w:t>
      </w:r>
    </w:p>
    <w:p w14:paraId="766D5597"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Silverstein MD, Heit JA, Mohr DN, et al. Trends in the incidence of deep vein thrombosis and pulmonary embolism: a 25-year population-based study. Arch Intern Med 1998; 158:585.</w:t>
      </w:r>
    </w:p>
    <w:p w14:paraId="5B797A7D"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Naess IA, Christiansen SC, Romundstad P, et al. Incidence and mortality of venous thrombosis: a population-based study. J Thromb Haemost 2007; 5:692.</w:t>
      </w:r>
    </w:p>
    <w:p w14:paraId="5E5CF855"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Tagalakis V, Patenaude V, Kahn SR, Suissa S. Incidence of and mortality from venous thromboembolism in a real-world population: the Q-VTE Study Cohort. Am J Med 2013; 126:832.e13.</w:t>
      </w:r>
    </w:p>
    <w:p w14:paraId="2FAFB670"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Lassila R, Jula A, Pitkäniemi J, Haukka J. The association of statin use with reduced incidence of venous thromboembolism: a population-based cohort study. BMJ Open 2014; 4:e005862.</w:t>
      </w:r>
    </w:p>
    <w:p w14:paraId="02F6AD33" w14:textId="77777777" w:rsidR="003A42EC" w:rsidRPr="003A42EC" w:rsidRDefault="003A42EC" w:rsidP="003A42EC">
      <w:pPr>
        <w:numPr>
          <w:ilvl w:val="0"/>
          <w:numId w:val="1"/>
        </w:numPr>
        <w:shd w:val="clear" w:color="auto" w:fill="FFFFFF"/>
        <w:wordWrap w:val="0"/>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The Surgeon General's call to action to prevent deep vein thrombosis and pulmonary embolism. United States Department of Health and Human Services, 2008.</w:t>
      </w:r>
    </w:p>
    <w:p w14:paraId="4C5F2E15" w14:textId="77777777" w:rsidR="003A42EC" w:rsidRPr="003A42EC" w:rsidRDefault="003A42EC" w:rsidP="003A42EC">
      <w:pPr>
        <w:numPr>
          <w:ilvl w:val="0"/>
          <w:numId w:val="1"/>
        </w:numPr>
        <w:shd w:val="clear" w:color="auto" w:fill="FFFFFF"/>
        <w:wordWrap w:val="0"/>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Arya R. Venous thromboembolim prevention. London: Department of Health, 2009.</w:t>
      </w:r>
    </w:p>
    <w:p w14:paraId="7A77AA14"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Cohen AT, Agnelli G, Anderson FA, et al. Venous thromboembolism (VTE) in Europe. The number of VTE events and associated morbidity and mortality. Thromb Haemost 2007; 98:756.</w:t>
      </w:r>
    </w:p>
    <w:p w14:paraId="5BC4B8ED"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Smith SB, Geske JB, Kathuria P, et al. Analysis of National Trends in Admissions for Pulmonary Embolism. Chest 2016; 150:35.</w:t>
      </w:r>
    </w:p>
    <w:p w14:paraId="24F73916"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Søgaard KK, Schmidt M, Pedersen L, et al. 30-year mortality after venous thromboembolism: a population-based cohort study. Circulation 2014; 130:829.</w:t>
      </w:r>
    </w:p>
    <w:p w14:paraId="3B55C46E"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Stein PD, Beemath A, Matta F, et al. Clinical characteristics of patients with acute pulmonary embolism: data from PIOPED II. Am J Med 2007; 120:871.</w:t>
      </w:r>
    </w:p>
    <w:p w14:paraId="645D75B8"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PIOPED Investigators. Value of the ventilation/perfusion scan in acute pulmonary embolism. Results of the prospective investigation of pulmonary embolism diagnosis (PIOPED). JAMA 1990; 263:2753.</w:t>
      </w:r>
    </w:p>
    <w:p w14:paraId="7079F1CD"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Darze ES, Latado AL, Guimarães AG, et al. Incidence and clinical predictors of pulmonary embolism in severe heart failure patients admitted to a coronary care unit. Chest 2005; 128:2576.</w:t>
      </w:r>
    </w:p>
    <w:p w14:paraId="113E3D23"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Heit JA, O'Fallon WM, Petterson TM, et al. Relative impact of risk factors for deep vein thrombosis and pulmonary embolism: a population-based study. Arch Intern Med 2002; 162:1245.</w:t>
      </w:r>
    </w:p>
    <w:p w14:paraId="1BBC1E57"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Pulido T, Aranda A, Zevallos MA, et al. Pulmonary embolism as a cause of death in patients with heart disease: an autopsy study. Chest 2006; 129:1282.</w:t>
      </w:r>
    </w:p>
    <w:p w14:paraId="1AE4B30B"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Zöller B, Li X, Sundquist J, Sundquist K. Risk of pulmonary embolism in patients with autoimmune disorders: a nationwide follow-up study from Sweden. Lancet 2012; 379:244.</w:t>
      </w:r>
    </w:p>
    <w:p w14:paraId="52B572C1"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Goldhaber SZ, Grodstein F, Stampfer MJ, et al. A prospective study of risk factors for pulmonary embolism in women. JAMA 1997; 277:642.</w:t>
      </w:r>
    </w:p>
    <w:p w14:paraId="16003414"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Gohil R, Peck G, Sharma P. The genetics of venous thromboembolism. A meta-analysis involving approximately 120,000 cases and 180,000 controls. Thromb Haemost 2009; 102:360.</w:t>
      </w:r>
    </w:p>
    <w:p w14:paraId="20DA8E34"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Germain M, Chasman DI, de Haan H, et al. Meta-analysis of 65,734 individuals identifies TSPAN15 and SLC44A2 as two susceptibility loci for venous thromboembolism. Am J Hum Genet 2015; 96:532.</w:t>
      </w:r>
    </w:p>
    <w:p w14:paraId="7B8E176F"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Girard P, Decousus M, Laporte S, et al. Diagnosis of pulmonary embolism in patients with proximal deep vein thrombosis: specificity of symptoms and perfusion defects at baseline and during anticoagulant therapy. Am J Respir Crit Care Med 2001; 164:1033.</w:t>
      </w:r>
    </w:p>
    <w:p w14:paraId="15260685"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Kistner RL, Ball JJ, Nordyke RA, Freeman GC. Incidence of pulmonary embolism in the course of thrombophlebitis of the lower extremities. Am J Surg 1972; 124:169.</w:t>
      </w:r>
    </w:p>
    <w:p w14:paraId="6ED4E645"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Moser KM, LeMoine JR. Is embolic risk conditioned by location of deep venous thrombosis? Ann Intern Med 1981; 94:439.</w:t>
      </w:r>
    </w:p>
    <w:p w14:paraId="7892C99E"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Weinmann EE, Salzman EW. Deep-vein thrombosis. N Engl J Med 1994; 331:1630.</w:t>
      </w:r>
    </w:p>
    <w:p w14:paraId="324DA99C"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lastRenderedPageBreak/>
        <w:t>van Langevelde K, Srámek A, Vincken PW, et al. Finding the origin of pulmonary emboli with a total-body magnetic resonance direct thrombus imaging technique. Haematologica 2013; 98:309.</w:t>
      </w:r>
    </w:p>
    <w:p w14:paraId="68709F36"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Kearon C. Natural history of venous thromboembolism. Circulation 2003; 107:I22.</w:t>
      </w:r>
    </w:p>
    <w:p w14:paraId="4398B6C7"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Masuda EM, Kistner RL. The case for managing calf vein thrombi with duplex surveillance and selective anticoagulation. Dis Mon 2010; 56:601.</w:t>
      </w:r>
    </w:p>
    <w:p w14:paraId="54A8DA2A"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Righini M, Paris S, Le Gal G, et al. Clinical relevance of distal deep vein thrombosis. Review of literature data. Thromb Haemost 2006; 95:56.</w:t>
      </w:r>
    </w:p>
    <w:p w14:paraId="6CC67058"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Schwarz T, Schmidt B, Beyer J, Schellong SM. Therapy of isolated calf muscle vein thrombosis with low-molecular-weight heparin. Blood Coagul Fibrinolysis 2001; 12:597.</w:t>
      </w:r>
    </w:p>
    <w:p w14:paraId="13D0E02D"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Macdonald PS, Kahn SR, Miller N, Obrand D. Short-term natural history of isolated gastrocnemius and soleal vein thrombosis. J Vasc Surg 2003; 37:523.</w:t>
      </w:r>
    </w:p>
    <w:p w14:paraId="4F34C9BB"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Gillet JL, Perrin MR, Allaert FA. Short-term and mid-term outcome of isolated symptomatic muscular calf vein thrombosis. J Vasc Surg 2007; 46:513.</w:t>
      </w:r>
    </w:p>
    <w:p w14:paraId="372BEB4B"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Lautz TB, Abbas F, Walsh SJ, et al. Isolated gastrocnemius and soleal vein thrombosis: should these patients receive therapeutic anticoagulation? Ann Surg 2010; 251:735.</w:t>
      </w:r>
    </w:p>
    <w:p w14:paraId="2AEE665A"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Schwarz T, Buschmann L, Beyer J, et al. Therapy of isolated calf muscle vein thrombosis: a randomized, controlled study. J Vasc Surg 2010; 52:1246.</w:t>
      </w:r>
    </w:p>
    <w:p w14:paraId="16D956D3"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Sales CM, Haq F, Bustami R, Sun F. Management of isolated soleal and gastrocnemius vein thrombosis. J Vasc Surg 2010; 52:1251.</w:t>
      </w:r>
    </w:p>
    <w:p w14:paraId="2AE4A51C"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Palareti G, Cosmi B, Lessiani G, et al. Evolution of untreated calf deep-vein thrombosis in high risk symptomatic outpatients: the blind, prospective CALTHRO study. Thromb Haemost 2010; 104:1063.</w:t>
      </w:r>
    </w:p>
    <w:p w14:paraId="209EEF73"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Moser KM. Venous thromboembolism. Am Rev Respir Dis 1990; 141:235.</w:t>
      </w:r>
    </w:p>
    <w:p w14:paraId="0C54E52C"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Stein PD, Terrin ML, Hales CA, et al. Clinical, laboratory, roentgenographic, and electrocardiographic findings in patients with acute pulmonary embolism and no pre-existing cardiac or pulmonary disease. Chest 1991; 100:598.</w:t>
      </w:r>
    </w:p>
    <w:p w14:paraId="2FE88D05"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Nakos G, Kitsiouli EI, Lekka ME. Bronchoalveolar lavage alterations in pulmonary embolism. Am J Respir Crit Care Med 1998; 158:1504.</w:t>
      </w:r>
    </w:p>
    <w:p w14:paraId="0776CFF6"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Benotti JR, Dalen JE. The natural history of pulmonary embolism. Clin Chest Med 1984; 5:403.</w:t>
      </w:r>
    </w:p>
    <w:p w14:paraId="7414CD5B" w14:textId="77777777" w:rsidR="003A42EC" w:rsidRPr="003A42EC" w:rsidRDefault="003A42EC" w:rsidP="003A42EC">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1"/>
          <w:szCs w:val="21"/>
        </w:rPr>
      </w:pPr>
      <w:r w:rsidRPr="003A42EC">
        <w:rPr>
          <w:rFonts w:ascii="Arial" w:eastAsia="Times New Roman" w:hAnsi="Arial" w:cs="Arial"/>
          <w:color w:val="000000"/>
          <w:sz w:val="21"/>
          <w:szCs w:val="21"/>
        </w:rPr>
        <w:t>Flinterman LE, van Hylckama Vlieg A, Cannegieter SC, Rosendaal FR. Long-term survival in a large cohort of patients with venous thrombosis: incidence and predictors. PLoS Med 2012; 9:e1001155.</w:t>
      </w:r>
    </w:p>
    <w:p w14:paraId="5D1716B7" w14:textId="77777777" w:rsidR="003A42EC" w:rsidRPr="003A42EC" w:rsidRDefault="003A42EC" w:rsidP="003A42EC">
      <w:pPr>
        <w:shd w:val="clear" w:color="auto" w:fill="FFFFFF"/>
        <w:spacing w:after="0" w:line="240" w:lineRule="auto"/>
        <w:rPr>
          <w:rFonts w:ascii="Arial" w:eastAsia="Times New Roman" w:hAnsi="Arial" w:cs="Arial"/>
          <w:color w:val="000000"/>
          <w:sz w:val="21"/>
          <w:szCs w:val="21"/>
        </w:rPr>
      </w:pPr>
      <w:r w:rsidRPr="003A42EC">
        <w:rPr>
          <w:rFonts w:ascii="Arial" w:eastAsia="Times New Roman" w:hAnsi="Arial" w:cs="Arial"/>
          <w:color w:val="000000"/>
          <w:sz w:val="21"/>
          <w:szCs w:val="21"/>
        </w:rPr>
        <w:t>Topic 8253 Version 40.0</w:t>
      </w:r>
    </w:p>
    <w:p w14:paraId="59CF51A8" w14:textId="77777777" w:rsidR="006B594B" w:rsidRDefault="006B594B">
      <w:bookmarkStart w:id="0" w:name="_GoBack"/>
      <w:bookmarkEnd w:id="0"/>
    </w:p>
    <w:sectPr w:rsidR="006B59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67470B"/>
    <w:multiLevelType w:val="multilevel"/>
    <w:tmpl w:val="45343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2EC"/>
    <w:rsid w:val="003A42EC"/>
    <w:rsid w:val="006B594B"/>
    <w:rsid w:val="00C6719C"/>
    <w:rsid w:val="00F524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51563"/>
  <w15:chartTrackingRefBased/>
  <w15:docId w15:val="{D650FF49-D1CA-4FAC-948C-74376F017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1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27904443">
      <w:bodyDiv w:val="1"/>
      <w:marLeft w:val="0"/>
      <w:marRight w:val="0"/>
      <w:marTop w:val="0"/>
      <w:marBottom w:val="0"/>
      <w:divBdr>
        <w:top w:val="none" w:sz="0" w:space="0" w:color="auto"/>
        <w:left w:val="none" w:sz="0" w:space="0" w:color="auto"/>
        <w:bottom w:val="none" w:sz="0" w:space="0" w:color="auto"/>
        <w:right w:val="none" w:sz="0" w:space="0" w:color="auto"/>
      </w:divBdr>
      <w:divsChild>
        <w:div w:id="1729189428">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hrome-extension://lkendcbljobdanllmcfpbnepkmjndmgo/pathway/120061?topicRef=8253&amp;source=see_link" TargetMode="External"/><Relationship Id="rId13" Type="http://schemas.openxmlformats.org/officeDocument/2006/relationships/hyperlink" Target="chrome-extension://lkendcbljobdanllmcfpbnepkmjndmgo/pathway/120066?topicRef=8253&amp;source=see_lin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hrome-extension://lkendcbljobdanllmcfpbnepkmjndmgo/pathway/120060?topicRef=8253&amp;source=see_link" TargetMode="External"/><Relationship Id="rId12" Type="http://schemas.openxmlformats.org/officeDocument/2006/relationships/hyperlink" Target="chrome-extension://lkendcbljobdanllmcfpbnepkmjndmgo/pathway/120061?topicRef=8253&amp;source=see_lin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hrome-extension://lkendcbljobdanllmcfpbnepkmjndmgo/pathway/120061?topicRef=8253&amp;source=see_link" TargetMode="External"/><Relationship Id="rId1" Type="http://schemas.openxmlformats.org/officeDocument/2006/relationships/numbering" Target="numbering.xml"/><Relationship Id="rId6" Type="http://schemas.openxmlformats.org/officeDocument/2006/relationships/hyperlink" Target="chrome-extension://lkendcbljobdanllmcfpbnepkmjndmgo/pathway/120062?topicRef=8253&amp;source=see_link" TargetMode="External"/><Relationship Id="rId11" Type="http://schemas.openxmlformats.org/officeDocument/2006/relationships/hyperlink" Target="chrome-extension://lkendcbljobdanllmcfpbnepkmjndmgo/pathway/120060?topicRef=8253&amp;source=see_link" TargetMode="External"/><Relationship Id="rId5" Type="http://schemas.openxmlformats.org/officeDocument/2006/relationships/hyperlink" Target="chrome-extension://lkendcbljobdanllmcfpbnepkmjndmgo/pathway/120066?topicRef=8253&amp;source=see_link" TargetMode="External"/><Relationship Id="rId15" Type="http://schemas.openxmlformats.org/officeDocument/2006/relationships/hyperlink" Target="chrome-extension://lkendcbljobdanllmcfpbnepkmjndmgo/pathway/120060?topicRef=8253&amp;source=see_link" TargetMode="External"/><Relationship Id="rId10" Type="http://schemas.openxmlformats.org/officeDocument/2006/relationships/hyperlink" Target="chrome-extension://lkendcbljobdanllmcfpbnepkmjndmgo/pathway/120062?topicRef=8253&amp;source=see_link" TargetMode="External"/><Relationship Id="rId4" Type="http://schemas.openxmlformats.org/officeDocument/2006/relationships/webSettings" Target="webSettings.xml"/><Relationship Id="rId9" Type="http://schemas.openxmlformats.org/officeDocument/2006/relationships/hyperlink" Target="chrome-extension://lkendcbljobdanllmcfpbnepkmjndmgo/pathway/120066?topicRef=8253&amp;source=see_link" TargetMode="External"/><Relationship Id="rId14" Type="http://schemas.openxmlformats.org/officeDocument/2006/relationships/hyperlink" Target="chrome-extension://lkendcbljobdanllmcfpbnepkmjndmgo/pathway/120062?topicRef=8253&amp;source=see_link" TargetMode="External"/></Relationships>
</file>

<file path=word/theme/theme1.xml><?xml version="1.0" encoding="utf-8"?>
<a:theme xmlns:a="http://schemas.openxmlformats.org/drawingml/2006/main" name="Office Them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6358</Words>
  <Characters>36243</Characters>
  <Application>Microsoft Office Word</Application>
  <DocSecurity>0</DocSecurity>
  <Lines>302</Lines>
  <Paragraphs>85</Paragraphs>
  <ScaleCrop>false</ScaleCrop>
  <Company/>
  <LinksUpToDate>false</LinksUpToDate>
  <CharactersWithSpaces>42516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 Mehrpooya</dc:creator>
  <cp:keywords/>
  <dc:description/>
  <cp:lastModifiedBy>Maryam Mehrpooya</cp:lastModifiedBy>
  <cp:revision>1</cp:revision>
  <dcterms:created xsi:type="dcterms:W3CDTF">2020-01-21T19:32:00Z</dcterms:created>
  <dcterms:modified xsi:type="dcterms:W3CDTF">2020-01-21T19:33:00Z</dcterms:modified>
</cp:coreProperties>
</file>