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9A00EE" w14:textId="77777777" w:rsidR="00E00194" w:rsidRPr="00E00194" w:rsidRDefault="00E00194" w:rsidP="00E00194">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E00194">
        <w:rPr>
          <w:rFonts w:ascii="Times New Roman" w:eastAsia="Times New Roman" w:hAnsi="Times New Roman" w:cs="Times New Roman"/>
          <w:b/>
          <w:bCs/>
          <w:kern w:val="36"/>
          <w:sz w:val="48"/>
          <w:szCs w:val="48"/>
        </w:rPr>
        <w:t>Use of Intravenous Antiplatelet Agents (Cangrelor and GPIIb/IIIa Inhibitors) in the Modern Era</w:t>
      </w:r>
    </w:p>
    <w:p w14:paraId="5F22AC63" w14:textId="77777777" w:rsidR="00E00194" w:rsidRPr="00E00194" w:rsidRDefault="00E00194" w:rsidP="00E00194">
      <w:pPr>
        <w:spacing w:after="0"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b/>
          <w:bCs/>
          <w:sz w:val="24"/>
          <w:szCs w:val="24"/>
        </w:rPr>
        <w:t>Jan 30, 2018   |  </w:t>
      </w:r>
      <w:hyperlink r:id="rId5" w:history="1">
        <w:r w:rsidRPr="00E00194">
          <w:rPr>
            <w:rFonts w:ascii="Times New Roman" w:eastAsia="Times New Roman" w:hAnsi="Times New Roman" w:cs="Times New Roman"/>
            <w:b/>
            <w:bCs/>
            <w:color w:val="0000FF"/>
            <w:sz w:val="24"/>
            <w:szCs w:val="24"/>
            <w:u w:val="single"/>
          </w:rPr>
          <w:t>Rahul Chaudhary, MBBS</w:t>
        </w:r>
      </w:hyperlink>
      <w:r w:rsidRPr="00E00194">
        <w:rPr>
          <w:rFonts w:ascii="Times New Roman" w:eastAsia="Times New Roman" w:hAnsi="Times New Roman" w:cs="Times New Roman"/>
          <w:b/>
          <w:bCs/>
          <w:sz w:val="24"/>
          <w:szCs w:val="24"/>
        </w:rPr>
        <w:t xml:space="preserve">; </w:t>
      </w:r>
      <w:hyperlink r:id="rId6" w:history="1">
        <w:r w:rsidRPr="00E00194">
          <w:rPr>
            <w:rFonts w:ascii="Times New Roman" w:eastAsia="Times New Roman" w:hAnsi="Times New Roman" w:cs="Times New Roman"/>
            <w:b/>
            <w:bCs/>
            <w:color w:val="0000FF"/>
            <w:sz w:val="24"/>
            <w:szCs w:val="24"/>
            <w:u w:val="single"/>
          </w:rPr>
          <w:t>Udaya Tantry, PHD</w:t>
        </w:r>
      </w:hyperlink>
      <w:r w:rsidRPr="00E00194">
        <w:rPr>
          <w:rFonts w:ascii="Times New Roman" w:eastAsia="Times New Roman" w:hAnsi="Times New Roman" w:cs="Times New Roman"/>
          <w:b/>
          <w:bCs/>
          <w:sz w:val="24"/>
          <w:szCs w:val="24"/>
        </w:rPr>
        <w:t xml:space="preserve">; </w:t>
      </w:r>
      <w:hyperlink r:id="rId7" w:history="1">
        <w:r w:rsidRPr="00E00194">
          <w:rPr>
            <w:rFonts w:ascii="Times New Roman" w:eastAsia="Times New Roman" w:hAnsi="Times New Roman" w:cs="Times New Roman"/>
            <w:b/>
            <w:bCs/>
            <w:color w:val="0000FF"/>
            <w:sz w:val="24"/>
            <w:szCs w:val="24"/>
            <w:u w:val="single"/>
          </w:rPr>
          <w:t>kevin bliden, M.B.</w:t>
        </w:r>
      </w:hyperlink>
      <w:r w:rsidRPr="00E00194">
        <w:rPr>
          <w:rFonts w:ascii="Times New Roman" w:eastAsia="Times New Roman" w:hAnsi="Times New Roman" w:cs="Times New Roman"/>
          <w:b/>
          <w:bCs/>
          <w:sz w:val="24"/>
          <w:szCs w:val="24"/>
        </w:rPr>
        <w:t xml:space="preserve">; </w:t>
      </w:r>
      <w:hyperlink r:id="rId8" w:history="1">
        <w:r w:rsidRPr="00E00194">
          <w:rPr>
            <w:rFonts w:ascii="Times New Roman" w:eastAsia="Times New Roman" w:hAnsi="Times New Roman" w:cs="Times New Roman"/>
            <w:b/>
            <w:bCs/>
            <w:color w:val="0000FF"/>
            <w:sz w:val="24"/>
            <w:szCs w:val="24"/>
            <w:u w:val="single"/>
          </w:rPr>
          <w:t>Matthew J. Price, MD, FACC</w:t>
        </w:r>
      </w:hyperlink>
      <w:r w:rsidRPr="00E00194">
        <w:rPr>
          <w:rFonts w:ascii="Times New Roman" w:eastAsia="Times New Roman" w:hAnsi="Times New Roman" w:cs="Times New Roman"/>
          <w:b/>
          <w:bCs/>
          <w:sz w:val="24"/>
          <w:szCs w:val="24"/>
        </w:rPr>
        <w:t xml:space="preserve">; </w:t>
      </w:r>
      <w:hyperlink r:id="rId9" w:history="1">
        <w:r w:rsidRPr="00E00194">
          <w:rPr>
            <w:rFonts w:ascii="Times New Roman" w:eastAsia="Times New Roman" w:hAnsi="Times New Roman" w:cs="Times New Roman"/>
            <w:b/>
            <w:bCs/>
            <w:color w:val="0000FF"/>
            <w:sz w:val="24"/>
            <w:szCs w:val="24"/>
            <w:u w:val="single"/>
          </w:rPr>
          <w:t>Paul A. Gurbel, MD, FACC</w:t>
        </w:r>
      </w:hyperlink>
      <w:r w:rsidRPr="00E00194">
        <w:rPr>
          <w:rFonts w:ascii="Times New Roman" w:eastAsia="Times New Roman" w:hAnsi="Times New Roman" w:cs="Times New Roman"/>
          <w:b/>
          <w:bCs/>
          <w:sz w:val="24"/>
          <w:szCs w:val="24"/>
        </w:rPr>
        <w:t xml:space="preserve"> </w:t>
      </w:r>
    </w:p>
    <w:p w14:paraId="503C35FE" w14:textId="77777777" w:rsidR="00E00194" w:rsidRPr="00E00194" w:rsidRDefault="00E00194" w:rsidP="00E00194">
      <w:pPr>
        <w:spacing w:before="100" w:beforeAutospacing="1" w:after="100" w:afterAutospacing="1" w:line="240" w:lineRule="auto"/>
        <w:outlineLvl w:val="1"/>
        <w:rPr>
          <w:rFonts w:ascii="Times New Roman" w:eastAsia="Times New Roman" w:hAnsi="Times New Roman" w:cs="Times New Roman"/>
          <w:b/>
          <w:bCs/>
          <w:sz w:val="36"/>
          <w:szCs w:val="36"/>
        </w:rPr>
      </w:pPr>
      <w:r w:rsidRPr="00E00194">
        <w:rPr>
          <w:rFonts w:ascii="Times New Roman" w:eastAsia="Times New Roman" w:hAnsi="Times New Roman" w:cs="Times New Roman"/>
          <w:b/>
          <w:bCs/>
          <w:sz w:val="36"/>
          <w:szCs w:val="36"/>
        </w:rPr>
        <w:t>Expert Analysis</w:t>
      </w:r>
    </w:p>
    <w:p w14:paraId="30F03DEC" w14:textId="77777777" w:rsidR="00E00194" w:rsidRPr="00E00194" w:rsidRDefault="00E00194" w:rsidP="00E00194">
      <w:pPr>
        <w:spacing w:after="0"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 xml:space="preserve">Share via: </w:t>
      </w:r>
    </w:p>
    <w:p w14:paraId="0B8448C0" w14:textId="77777777" w:rsidR="00E00194" w:rsidRPr="00E00194" w:rsidRDefault="00E00194" w:rsidP="00E00194">
      <w:pPr>
        <w:spacing w:after="0"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AddThis Sharing Buttons</w:t>
      </w:r>
    </w:p>
    <w:p w14:paraId="6CE7A233" w14:textId="77777777" w:rsidR="00E00194" w:rsidRPr="00E00194" w:rsidRDefault="00E00194" w:rsidP="00E00194">
      <w:pPr>
        <w:spacing w:after="0"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Share to FacebookShare to TwitterShare to LinkedInShare to EmailShare to More</w:t>
      </w:r>
      <w:r w:rsidRPr="00E00194">
        <w:rPr>
          <w:rFonts w:ascii="Times New Roman" w:eastAsia="Times New Roman" w:hAnsi="Times New Roman" w:cs="Times New Roman"/>
          <w:sz w:val="16"/>
          <w:szCs w:val="16"/>
        </w:rPr>
        <w:t>29</w:t>
      </w:r>
    </w:p>
    <w:p w14:paraId="0D465E10" w14:textId="77777777" w:rsidR="00E00194" w:rsidRPr="00E00194" w:rsidRDefault="00E00194" w:rsidP="00E00194">
      <w:pPr>
        <w:numPr>
          <w:ilvl w:val="0"/>
          <w:numId w:val="1"/>
        </w:numPr>
        <w:spacing w:before="100" w:beforeAutospacing="1" w:after="100" w:afterAutospacing="1" w:line="240" w:lineRule="auto"/>
        <w:rPr>
          <w:rFonts w:ascii="Times New Roman" w:eastAsia="Times New Roman" w:hAnsi="Times New Roman" w:cs="Times New Roman"/>
          <w:sz w:val="24"/>
          <w:szCs w:val="24"/>
        </w:rPr>
      </w:pPr>
    </w:p>
    <w:p w14:paraId="5F935611" w14:textId="77777777" w:rsidR="00E00194" w:rsidRPr="00E00194" w:rsidRDefault="00E00194" w:rsidP="00E00194">
      <w:pPr>
        <w:spacing w:after="0"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Font Size</w:t>
      </w:r>
    </w:p>
    <w:p w14:paraId="3259A43E" w14:textId="77777777" w:rsidR="00E00194" w:rsidRPr="00E00194" w:rsidRDefault="00E00194" w:rsidP="00E00194">
      <w:pPr>
        <w:spacing w:after="0" w:line="240" w:lineRule="auto"/>
        <w:ind w:left="720"/>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A</w:t>
      </w:r>
    </w:p>
    <w:p w14:paraId="33FE9EBD" w14:textId="77777777" w:rsidR="00E00194" w:rsidRPr="00E00194" w:rsidRDefault="00E00194" w:rsidP="00E00194">
      <w:pPr>
        <w:spacing w:after="0" w:line="240" w:lineRule="auto"/>
        <w:ind w:left="720"/>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A</w:t>
      </w:r>
    </w:p>
    <w:p w14:paraId="4A1C85B0" w14:textId="77777777" w:rsidR="00E00194" w:rsidRPr="00E00194" w:rsidRDefault="00E00194" w:rsidP="00E00194">
      <w:pPr>
        <w:spacing w:after="0" w:line="240" w:lineRule="auto"/>
        <w:ind w:left="720"/>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A</w:t>
      </w:r>
    </w:p>
    <w:p w14:paraId="43418049" w14:textId="77777777" w:rsidR="00E00194" w:rsidRPr="00E00194" w:rsidRDefault="00E00194" w:rsidP="00E00194">
      <w:p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b/>
          <w:bCs/>
          <w:sz w:val="24"/>
          <w:szCs w:val="24"/>
        </w:rPr>
        <w:t>Introduction</w:t>
      </w:r>
    </w:p>
    <w:p w14:paraId="42E35812" w14:textId="77777777" w:rsidR="00E00194" w:rsidRPr="00E00194" w:rsidRDefault="00E00194" w:rsidP="00E00194">
      <w:p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Platelet adhesion to the subendothelial matrix exposed at sites of endothelial erosion and plaque rupture during acute coronary syndromes (ACS) and induced by percutaneous coronary intervention (PCI) results in platelet activation and the release of important secondary agonists. Prostaglandins are derived from platelet membrane phospholipids after platelet activation. These prostaglandins are converted to thromboxane A</w:t>
      </w:r>
      <w:r w:rsidRPr="00E00194">
        <w:rPr>
          <w:rFonts w:ascii="Times New Roman" w:eastAsia="Times New Roman" w:hAnsi="Times New Roman" w:cs="Times New Roman"/>
          <w:sz w:val="24"/>
          <w:szCs w:val="24"/>
          <w:vertAlign w:val="subscript"/>
        </w:rPr>
        <w:t>2</w:t>
      </w:r>
      <w:r w:rsidRPr="00E00194">
        <w:rPr>
          <w:rFonts w:ascii="Times New Roman" w:eastAsia="Times New Roman" w:hAnsi="Times New Roman" w:cs="Times New Roman"/>
          <w:sz w:val="24"/>
          <w:szCs w:val="24"/>
        </w:rPr>
        <w:t xml:space="preserve"> by cycloxoygenase-1 and subsequent thromboxane synthase activity. Adenosine diphosphate is released from dense granules. These two agonists exhibit complementary effects by their autocrine and paracrine functions. It has been shown that sustained activation of the glycoprotein (GP) IIb/IIIa receptor is critically dependent on continuous downstream signaling from the P2Y</w:t>
      </w:r>
      <w:r w:rsidRPr="00E00194">
        <w:rPr>
          <w:rFonts w:ascii="Times New Roman" w:eastAsia="Times New Roman" w:hAnsi="Times New Roman" w:cs="Times New Roman"/>
          <w:sz w:val="24"/>
          <w:szCs w:val="24"/>
          <w:vertAlign w:val="subscript"/>
        </w:rPr>
        <w:t>12</w:t>
      </w:r>
      <w:r w:rsidRPr="00E00194">
        <w:rPr>
          <w:rFonts w:ascii="Times New Roman" w:eastAsia="Times New Roman" w:hAnsi="Times New Roman" w:cs="Times New Roman"/>
          <w:sz w:val="24"/>
          <w:szCs w:val="24"/>
        </w:rPr>
        <w:t xml:space="preserve"> receptor, an important adenosine diphosphate receptor. The binding of activated GPIIb/IIIa receptors to dimeric fibrinogen on adjacent platelets results in initial thrombus formation. Therefore, inhibition of COX-1 by aspirin and the P2Y</w:t>
      </w:r>
      <w:r w:rsidRPr="00E00194">
        <w:rPr>
          <w:rFonts w:ascii="Times New Roman" w:eastAsia="Times New Roman" w:hAnsi="Times New Roman" w:cs="Times New Roman"/>
          <w:sz w:val="24"/>
          <w:szCs w:val="24"/>
          <w:vertAlign w:val="subscript"/>
        </w:rPr>
        <w:t>12</w:t>
      </w:r>
      <w:r w:rsidRPr="00E00194">
        <w:rPr>
          <w:rFonts w:ascii="Times New Roman" w:eastAsia="Times New Roman" w:hAnsi="Times New Roman" w:cs="Times New Roman"/>
          <w:sz w:val="24"/>
          <w:szCs w:val="24"/>
        </w:rPr>
        <w:t xml:space="preserve"> receptor by a P2Y</w:t>
      </w:r>
      <w:r w:rsidRPr="00E00194">
        <w:rPr>
          <w:rFonts w:ascii="Times New Roman" w:eastAsia="Times New Roman" w:hAnsi="Times New Roman" w:cs="Times New Roman"/>
          <w:sz w:val="24"/>
          <w:szCs w:val="24"/>
          <w:vertAlign w:val="subscript"/>
        </w:rPr>
        <w:t>12</w:t>
      </w:r>
      <w:r w:rsidRPr="00E00194">
        <w:rPr>
          <w:rFonts w:ascii="Times New Roman" w:eastAsia="Times New Roman" w:hAnsi="Times New Roman" w:cs="Times New Roman"/>
          <w:sz w:val="24"/>
          <w:szCs w:val="24"/>
        </w:rPr>
        <w:t xml:space="preserve"> inhibitor with oral loading doses is a first line treatment strategy in patients with ACS and in patients undergoing PCI.</w:t>
      </w:r>
      <w:r w:rsidRPr="00E00194">
        <w:rPr>
          <w:rFonts w:ascii="Times New Roman" w:eastAsia="Times New Roman" w:hAnsi="Times New Roman" w:cs="Times New Roman"/>
          <w:sz w:val="24"/>
          <w:szCs w:val="24"/>
          <w:vertAlign w:val="superscript"/>
        </w:rPr>
        <w:t>1</w:t>
      </w:r>
      <w:r w:rsidRPr="00E00194">
        <w:rPr>
          <w:rFonts w:ascii="Times New Roman" w:eastAsia="Times New Roman" w:hAnsi="Times New Roman" w:cs="Times New Roman"/>
          <w:sz w:val="24"/>
          <w:szCs w:val="24"/>
        </w:rPr>
        <w:t xml:space="preserve"> However, there are limitations associated with oral P2Y</w:t>
      </w:r>
      <w:r w:rsidRPr="00E00194">
        <w:rPr>
          <w:rFonts w:ascii="Times New Roman" w:eastAsia="Times New Roman" w:hAnsi="Times New Roman" w:cs="Times New Roman"/>
          <w:sz w:val="24"/>
          <w:szCs w:val="24"/>
          <w:vertAlign w:val="subscript"/>
        </w:rPr>
        <w:t>12</w:t>
      </w:r>
      <w:r w:rsidRPr="00E00194">
        <w:rPr>
          <w:rFonts w:ascii="Times New Roman" w:eastAsia="Times New Roman" w:hAnsi="Times New Roman" w:cs="Times New Roman"/>
          <w:sz w:val="24"/>
          <w:szCs w:val="24"/>
        </w:rPr>
        <w:t xml:space="preserve"> receptor inhibitors that include requirement for in vivo conversion (thienopyridines), delayed onset of action, suboptimal platelet inhibition, irreversible inhibition (thienopyridines) and delayed offset. Even the more potent oral P2Y</w:t>
      </w:r>
      <w:r w:rsidRPr="00E00194">
        <w:rPr>
          <w:rFonts w:ascii="Times New Roman" w:eastAsia="Times New Roman" w:hAnsi="Times New Roman" w:cs="Times New Roman"/>
          <w:sz w:val="24"/>
          <w:szCs w:val="24"/>
          <w:vertAlign w:val="subscript"/>
        </w:rPr>
        <w:t>12</w:t>
      </w:r>
      <w:r w:rsidRPr="00E00194">
        <w:rPr>
          <w:rFonts w:ascii="Times New Roman" w:eastAsia="Times New Roman" w:hAnsi="Times New Roman" w:cs="Times New Roman"/>
          <w:sz w:val="24"/>
          <w:szCs w:val="24"/>
        </w:rPr>
        <w:t xml:space="preserve"> inhibitors, prasugrel and ticagrelor, are associated with delayed inhibition particularly in patients with ACS.</w:t>
      </w:r>
      <w:r w:rsidRPr="00E00194">
        <w:rPr>
          <w:rFonts w:ascii="Times New Roman" w:eastAsia="Times New Roman" w:hAnsi="Times New Roman" w:cs="Times New Roman"/>
          <w:sz w:val="24"/>
          <w:szCs w:val="24"/>
          <w:vertAlign w:val="superscript"/>
        </w:rPr>
        <w:t>2</w:t>
      </w:r>
      <w:r w:rsidRPr="00E00194">
        <w:rPr>
          <w:rFonts w:ascii="Times New Roman" w:eastAsia="Times New Roman" w:hAnsi="Times New Roman" w:cs="Times New Roman"/>
          <w:sz w:val="24"/>
          <w:szCs w:val="24"/>
        </w:rPr>
        <w:t xml:space="preserve"> In the acute setting, therapy with potent platelet inhibitors that have fast onset and offset is desirable to attenuate thrombotic complications. Parenterally administered GPIIb/IIIa inhibitors provide immediate and potent platelet inhibition and have been used for the past two decades. However, elevated bleeding risk has been associated with these agents and remains a major concern.</w:t>
      </w:r>
      <w:r w:rsidRPr="00E00194">
        <w:rPr>
          <w:rFonts w:ascii="Times New Roman" w:eastAsia="Times New Roman" w:hAnsi="Times New Roman" w:cs="Times New Roman"/>
          <w:sz w:val="24"/>
          <w:szCs w:val="24"/>
          <w:vertAlign w:val="superscript"/>
        </w:rPr>
        <w:t>3-5</w:t>
      </w:r>
      <w:r w:rsidRPr="00E00194">
        <w:rPr>
          <w:rFonts w:ascii="Times New Roman" w:eastAsia="Times New Roman" w:hAnsi="Times New Roman" w:cs="Times New Roman"/>
          <w:sz w:val="24"/>
          <w:szCs w:val="24"/>
        </w:rPr>
        <w:t xml:space="preserve"> </w:t>
      </w:r>
      <w:r w:rsidRPr="00E00194">
        <w:rPr>
          <w:rFonts w:ascii="Times New Roman" w:eastAsia="Times New Roman" w:hAnsi="Times New Roman" w:cs="Times New Roman"/>
          <w:sz w:val="24"/>
          <w:szCs w:val="24"/>
        </w:rPr>
        <w:lastRenderedPageBreak/>
        <w:t>Routine use of GPIIb/IIIa inhibitors in high-risk patients has recently decreased, and their use is often reserved for bail-out situations in many centers. In the current era, short-course GPIIb/IIIa inhibitor therapy and therapy with the intravenous P2Y</w:t>
      </w:r>
      <w:r w:rsidRPr="00E00194">
        <w:rPr>
          <w:rFonts w:ascii="Times New Roman" w:eastAsia="Times New Roman" w:hAnsi="Times New Roman" w:cs="Times New Roman"/>
          <w:sz w:val="24"/>
          <w:szCs w:val="24"/>
          <w:vertAlign w:val="subscript"/>
        </w:rPr>
        <w:t>12</w:t>
      </w:r>
      <w:r w:rsidRPr="00E00194">
        <w:rPr>
          <w:rFonts w:ascii="Times New Roman" w:eastAsia="Times New Roman" w:hAnsi="Times New Roman" w:cs="Times New Roman"/>
          <w:sz w:val="24"/>
          <w:szCs w:val="24"/>
        </w:rPr>
        <w:t xml:space="preserve"> receptor blocker cangrelor has gained interest.</w:t>
      </w:r>
      <w:r w:rsidRPr="00E00194">
        <w:rPr>
          <w:rFonts w:ascii="Times New Roman" w:eastAsia="Times New Roman" w:hAnsi="Times New Roman" w:cs="Times New Roman"/>
          <w:sz w:val="24"/>
          <w:szCs w:val="24"/>
          <w:vertAlign w:val="superscript"/>
        </w:rPr>
        <w:t>3,6</w:t>
      </w:r>
    </w:p>
    <w:p w14:paraId="26B6856E" w14:textId="77777777" w:rsidR="00E00194" w:rsidRPr="00E00194" w:rsidRDefault="00E00194" w:rsidP="00E00194">
      <w:p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b/>
          <w:bCs/>
          <w:sz w:val="24"/>
          <w:szCs w:val="24"/>
        </w:rPr>
        <w:t>Cangrelor</w:t>
      </w:r>
    </w:p>
    <w:p w14:paraId="43298D1A" w14:textId="77777777" w:rsidR="00E00194" w:rsidRPr="00E00194" w:rsidRDefault="00E00194" w:rsidP="00E00194">
      <w:p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Cangrelor is an adenosine triphosphate analog that selectively and specifically blocks P2Y</w:t>
      </w:r>
      <w:r w:rsidRPr="00E00194">
        <w:rPr>
          <w:rFonts w:ascii="Times New Roman" w:eastAsia="Times New Roman" w:hAnsi="Times New Roman" w:cs="Times New Roman"/>
          <w:sz w:val="24"/>
          <w:szCs w:val="24"/>
          <w:vertAlign w:val="subscript"/>
        </w:rPr>
        <w:t>12</w:t>
      </w:r>
      <w:r w:rsidRPr="00E00194">
        <w:rPr>
          <w:rFonts w:ascii="Times New Roman" w:eastAsia="Times New Roman" w:hAnsi="Times New Roman" w:cs="Times New Roman"/>
          <w:sz w:val="24"/>
          <w:szCs w:val="24"/>
        </w:rPr>
        <w:t xml:space="preserve"> receptor-mediated platelet activation. It is the only intravenous P2Y</w:t>
      </w:r>
      <w:r w:rsidRPr="00E00194">
        <w:rPr>
          <w:rFonts w:ascii="Times New Roman" w:eastAsia="Times New Roman" w:hAnsi="Times New Roman" w:cs="Times New Roman"/>
          <w:sz w:val="24"/>
          <w:szCs w:val="24"/>
          <w:vertAlign w:val="subscript"/>
        </w:rPr>
        <w:t>12</w:t>
      </w:r>
      <w:r w:rsidRPr="00E00194">
        <w:rPr>
          <w:rFonts w:ascii="Times New Roman" w:eastAsia="Times New Roman" w:hAnsi="Times New Roman" w:cs="Times New Roman"/>
          <w:sz w:val="24"/>
          <w:szCs w:val="24"/>
        </w:rPr>
        <w:t xml:space="preserve"> inhibitor available for clinical use. Blockade is direct, reversible, and competitive.</w:t>
      </w:r>
      <w:r w:rsidRPr="00E00194">
        <w:rPr>
          <w:rFonts w:ascii="Times New Roman" w:eastAsia="Times New Roman" w:hAnsi="Times New Roman" w:cs="Times New Roman"/>
          <w:sz w:val="24"/>
          <w:szCs w:val="24"/>
          <w:vertAlign w:val="superscript"/>
        </w:rPr>
        <w:t>7</w:t>
      </w:r>
      <w:r w:rsidRPr="00E00194">
        <w:rPr>
          <w:rFonts w:ascii="Times New Roman" w:eastAsia="Times New Roman" w:hAnsi="Times New Roman" w:cs="Times New Roman"/>
          <w:sz w:val="24"/>
          <w:szCs w:val="24"/>
        </w:rPr>
        <w:t xml:space="preserve"> Cangrelor has a linear dose-dependent pharmacokinetic profile that leads to stable antiplatelet effects. Platelet inhibition is rapid and potent, occurring within minutes. Cangrelor has a 3-6-minute plasma half-life with rapid platelet function recovery within 30-60 minutes after discontinuation of infusion. Inactivation occurs through dephosphorylation.</w:t>
      </w:r>
      <w:r w:rsidRPr="00E00194">
        <w:rPr>
          <w:rFonts w:ascii="Times New Roman" w:eastAsia="Times New Roman" w:hAnsi="Times New Roman" w:cs="Times New Roman"/>
          <w:sz w:val="24"/>
          <w:szCs w:val="24"/>
          <w:vertAlign w:val="superscript"/>
        </w:rPr>
        <w:t>8</w:t>
      </w:r>
      <w:r w:rsidRPr="00E00194">
        <w:rPr>
          <w:rFonts w:ascii="Times New Roman" w:eastAsia="Times New Roman" w:hAnsi="Times New Roman" w:cs="Times New Roman"/>
          <w:sz w:val="24"/>
          <w:szCs w:val="24"/>
        </w:rPr>
        <w:t xml:space="preserve"> Additionally, cangrelor is not renally cleared and does not require dose adjustment in patients presenting renal failure. Cangrelor was approved for clinical use by the US Food and Drug Administration as an adjunct to PCI to reduce the risk of myocardial infarction (MI), repeat coronary revascularization, and stent thrombosis in patients who have not been treated with a P2Y</w:t>
      </w:r>
      <w:r w:rsidRPr="00E00194">
        <w:rPr>
          <w:rFonts w:ascii="Times New Roman" w:eastAsia="Times New Roman" w:hAnsi="Times New Roman" w:cs="Times New Roman"/>
          <w:sz w:val="24"/>
          <w:szCs w:val="24"/>
          <w:vertAlign w:val="subscript"/>
        </w:rPr>
        <w:t>12</w:t>
      </w:r>
      <w:r w:rsidRPr="00E00194">
        <w:rPr>
          <w:rFonts w:ascii="Times New Roman" w:eastAsia="Times New Roman" w:hAnsi="Times New Roman" w:cs="Times New Roman"/>
          <w:sz w:val="24"/>
          <w:szCs w:val="24"/>
        </w:rPr>
        <w:t xml:space="preserve"> platelet inhibitor and are not being given a GPIIb/IIIa inhibitor.</w:t>
      </w:r>
      <w:r w:rsidRPr="00E00194">
        <w:rPr>
          <w:rFonts w:ascii="Times New Roman" w:eastAsia="Times New Roman" w:hAnsi="Times New Roman" w:cs="Times New Roman"/>
          <w:sz w:val="24"/>
          <w:szCs w:val="24"/>
          <w:vertAlign w:val="superscript"/>
        </w:rPr>
        <w:t>9</w:t>
      </w:r>
    </w:p>
    <w:p w14:paraId="2C16E481" w14:textId="77777777" w:rsidR="00E00194" w:rsidRPr="00E00194" w:rsidRDefault="00E00194" w:rsidP="00E00194">
      <w:p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CHAMPION PCI (Cangrelor Versus Standard Therapy to Achieve Optimal Management of Platelet Inhibition – PCI) and CHAMPION PLATFORM (Clopidogrel Versus Standard Therapy to Achieve Optimal Management of Platelet Inhibition – PLATFORM) were two randomized clinical trials that evaluated the efficacy and safety of cangrelor in patients undergoing PCI.</w:t>
      </w:r>
      <w:r w:rsidRPr="00E00194">
        <w:rPr>
          <w:rFonts w:ascii="Times New Roman" w:eastAsia="Times New Roman" w:hAnsi="Times New Roman" w:cs="Times New Roman"/>
          <w:sz w:val="24"/>
          <w:szCs w:val="24"/>
          <w:vertAlign w:val="superscript"/>
        </w:rPr>
        <w:t>10,11</w:t>
      </w:r>
      <w:r w:rsidRPr="00E00194">
        <w:rPr>
          <w:rFonts w:ascii="Times New Roman" w:eastAsia="Times New Roman" w:hAnsi="Times New Roman" w:cs="Times New Roman"/>
          <w:sz w:val="24"/>
          <w:szCs w:val="24"/>
        </w:rPr>
        <w:t xml:space="preserve"> CHAMPION PCI randomly assigned 8,716 patients to receive either a bolus and infusion of cangrelor followed by 600 mg clopidogrel or only a clopidogrel 600 mg loading dose within 30 minutes of the start of PCI. Patients were eligible for enrollment in the study if they had stable angina, unstable angina, or non-ST-segment elevation MI with obstructive coronary artery disease (CAD) and were scheduled to undergo PCI. An additional 1,000 patients with ST-segment elevation MI (STEMI) for whom primary PCI was planned were also eligible. The infusion began within 30 minutes before PCI and continued for at least 2 hours or until the conclusion of the index procedure, whichever was longer. At the treating physician's discretion, the infusion could be continued for 4 hours. Patients could not have received fibrinolytic agents or GPIIb/IIIa inhibitors within the previous 12 hours or clopidogrel at a dose of more than 75 mg per day in the previous 5 days.</w:t>
      </w:r>
      <w:r w:rsidRPr="00E00194">
        <w:rPr>
          <w:rFonts w:ascii="Times New Roman" w:eastAsia="Times New Roman" w:hAnsi="Times New Roman" w:cs="Times New Roman"/>
          <w:sz w:val="24"/>
          <w:szCs w:val="24"/>
          <w:vertAlign w:val="superscript"/>
        </w:rPr>
        <w:t>10</w:t>
      </w:r>
    </w:p>
    <w:p w14:paraId="0548FC56" w14:textId="77777777" w:rsidR="00E00194" w:rsidRPr="00E00194" w:rsidRDefault="00E00194" w:rsidP="00E00194">
      <w:p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CHAMPION PLATFORM randomly assigned 5,362 patients who had not received any thienopyridine in the previous 7 days or fibrinolytic agents or GPIIb/IIIa inhibitors within the previous 12 hours to receive a bolus and infusion of cangrelor followed by a 600 mg of clopidogrel at the end of the infusion or to receive a clopidogrel 600 mg loading dose immediately after the procedure.</w:t>
      </w:r>
      <w:r w:rsidRPr="00E00194">
        <w:rPr>
          <w:rFonts w:ascii="Times New Roman" w:eastAsia="Times New Roman" w:hAnsi="Times New Roman" w:cs="Times New Roman"/>
          <w:sz w:val="24"/>
          <w:szCs w:val="24"/>
          <w:vertAlign w:val="superscript"/>
        </w:rPr>
        <w:t>11</w:t>
      </w:r>
      <w:r w:rsidRPr="00E00194">
        <w:rPr>
          <w:rFonts w:ascii="Times New Roman" w:eastAsia="Times New Roman" w:hAnsi="Times New Roman" w:cs="Times New Roman"/>
          <w:sz w:val="24"/>
          <w:szCs w:val="24"/>
        </w:rPr>
        <w:t xml:space="preserve"> In CHAMPION PLATFORM, patients had non-ST-segment elevation ACS. A small percentage of patients (~5%) with stable angina were initially eligible at the beginning of the trial before a protocol amendment. Therefore, the two trials differed somewhat by the patient types included and the timing of clopidogrel administration in the control group. Cangrelor was not superior to clopidogrel in either of the two trials with respect to the primary endpoint of death from any cause, MI, or ischemia-driven revascularization at 48 </w:t>
      </w:r>
      <w:r w:rsidRPr="00E00194">
        <w:rPr>
          <w:rFonts w:ascii="Times New Roman" w:eastAsia="Times New Roman" w:hAnsi="Times New Roman" w:cs="Times New Roman"/>
          <w:sz w:val="24"/>
          <w:szCs w:val="24"/>
        </w:rPr>
        <w:lastRenderedPageBreak/>
        <w:t>hours, and both trials were terminated prematurely by the Data and Safety Monitoring Board for futility during interim analysis.</w:t>
      </w:r>
      <w:r w:rsidRPr="00E00194">
        <w:rPr>
          <w:rFonts w:ascii="Times New Roman" w:eastAsia="Times New Roman" w:hAnsi="Times New Roman" w:cs="Times New Roman"/>
          <w:sz w:val="24"/>
          <w:szCs w:val="24"/>
          <w:vertAlign w:val="superscript"/>
        </w:rPr>
        <w:t>11</w:t>
      </w:r>
      <w:r w:rsidRPr="00E00194">
        <w:rPr>
          <w:rFonts w:ascii="Times New Roman" w:eastAsia="Times New Roman" w:hAnsi="Times New Roman" w:cs="Times New Roman"/>
          <w:sz w:val="24"/>
          <w:szCs w:val="24"/>
        </w:rPr>
        <w:t xml:space="preserve"> However, a post hoc analysis of the pooled CHAMPION PCI and CHAMPION PLATFORM trial data demonstrated a significant reduction in the primary endpoint of death, MI, and ischemia-driven revascularization with cangrelor when the universal definition of MI (similar to the definition in CHAMPION PHOENIX) was used (odds ratio [OR] 0.82, 95% confidence interval [CI], 0.68-0.99; p = 0.03), rather than the per-protocol definition. The per-protocol definition of MI was the appearance of new Q waves (duration &gt;0.03 seconds) in 2 contiguous electrocardiographic leads or cardiac biomarkers ≥3 times the local upper limit of normal, as well as a rise &gt;50% above the baseline when biomarkers were initially elevated.</w:t>
      </w:r>
      <w:r w:rsidRPr="00E00194">
        <w:rPr>
          <w:rFonts w:ascii="Times New Roman" w:eastAsia="Times New Roman" w:hAnsi="Times New Roman" w:cs="Times New Roman"/>
          <w:sz w:val="24"/>
          <w:szCs w:val="24"/>
          <w:vertAlign w:val="superscript"/>
        </w:rPr>
        <w:t>12</w:t>
      </w:r>
      <w:r w:rsidRPr="00E00194">
        <w:rPr>
          <w:rFonts w:ascii="Times New Roman" w:eastAsia="Times New Roman" w:hAnsi="Times New Roman" w:cs="Times New Roman"/>
          <w:sz w:val="24"/>
          <w:szCs w:val="24"/>
        </w:rPr>
        <w:t xml:space="preserve"> The short times from randomization to PCI in the CHAMPION PCI and CHAMPION PLATFORM trials represents a diagnostic challenge to identify a PCI-related MI in patients with elevated biomarkers at presentation because in these cases, increased biomarker levels after the procedure may reflect the initial thrombotic event rather than a result of the procedure. Therefore, the universal definition of MI, like that used in the subsequent CHAMPION PHOENIX (Cangrelor vs. Standard Therapy to Achieve Optimal Management of Platelet Inhibition – PHOENIX) (see below), may enhance discrimination in detecting PCI-related MI and may allow a more rigorous assessment of the therapeutic benefit of adjunctive pharmacologic interventions.</w:t>
      </w:r>
      <w:r w:rsidRPr="00E00194">
        <w:rPr>
          <w:rFonts w:ascii="Times New Roman" w:eastAsia="Times New Roman" w:hAnsi="Times New Roman" w:cs="Times New Roman"/>
          <w:sz w:val="24"/>
          <w:szCs w:val="24"/>
          <w:vertAlign w:val="superscript"/>
        </w:rPr>
        <w:t>13</w:t>
      </w:r>
    </w:p>
    <w:p w14:paraId="5C05300E" w14:textId="77777777" w:rsidR="00E00194" w:rsidRPr="00E00194" w:rsidRDefault="00E00194" w:rsidP="00E00194">
      <w:p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CHAMPION PHOENIX evaluated the safety and efficacy in reducing acute ischemic events with addition of cangrelor to dual antiplatelet therapy (aspirin plus clopidogrel) in P2Y</w:t>
      </w:r>
      <w:r w:rsidRPr="00E00194">
        <w:rPr>
          <w:rFonts w:ascii="Times New Roman" w:eastAsia="Times New Roman" w:hAnsi="Times New Roman" w:cs="Times New Roman"/>
          <w:sz w:val="24"/>
          <w:szCs w:val="24"/>
          <w:vertAlign w:val="subscript"/>
        </w:rPr>
        <w:t>12</w:t>
      </w:r>
      <w:r w:rsidRPr="00E00194">
        <w:rPr>
          <w:rFonts w:ascii="Times New Roman" w:eastAsia="Times New Roman" w:hAnsi="Times New Roman" w:cs="Times New Roman"/>
          <w:sz w:val="24"/>
          <w:szCs w:val="24"/>
        </w:rPr>
        <w:t xml:space="preserve"> inhibitor-naïve patients undergoing PCI for the spectrum of CAD manifestations (STEMI, non-ST-segment elevation ACS, or stable angina). In this trial, 11,145 patients were randomized in a double-blind, double-dummy, placebo-controlled fashion. Patients were excluded if they had received any P2Y</w:t>
      </w:r>
      <w:r w:rsidRPr="00E00194">
        <w:rPr>
          <w:rFonts w:ascii="Times New Roman" w:eastAsia="Times New Roman" w:hAnsi="Times New Roman" w:cs="Times New Roman"/>
          <w:sz w:val="24"/>
          <w:szCs w:val="24"/>
          <w:vertAlign w:val="subscript"/>
        </w:rPr>
        <w:t>12</w:t>
      </w:r>
      <w:r w:rsidRPr="00E00194">
        <w:rPr>
          <w:rFonts w:ascii="Times New Roman" w:eastAsia="Times New Roman" w:hAnsi="Times New Roman" w:cs="Times New Roman"/>
          <w:sz w:val="24"/>
          <w:szCs w:val="24"/>
        </w:rPr>
        <w:t xml:space="preserve"> inhibitor or abciximab within 7 days or fibrinolytic or GPIIb/IIIa inhibitors in the last 12 hours. Patients in the cangrelor group received an initial bolus followed by an infusion (30 mg/kg bolus followed by an infusion of 4 mg/kg/min for at least 2 hours or the duration of the PCI procedure, whichever was longer) and placebo capsules. At the end of the infusion, patients received a clopidogrel 600-mg loading dose. Patients randomly assigned to clopidogrel received either 600 mg (74%) or 300 mg of clopidogrel (26%) based on clinician preference as well as a placebo bolus and infusion followed by placebo capsules. The primary endpoint was a composite of death, MI, ischemia-driven revascularization, or stent thrombosis at 48 hours. The definition of periprocedural MI was based on the universal definition of MI and involved an assessment of baseline biomarker status. In patients with normal biomarkers at baseline, an MI was considered to have occurred if there was post-PCI elevation in creatine kinase-MB three times or more than the upper limit of normal. If baseline biomarkers were abnormal, additional clinical evidence of ischemia was required. Stent thrombosis included definite stent thrombosis according to the Academic Research Consortium definition or intraprocedural stent thrombosis, which was assessed by a blinded angiographic core laboratory. The primary safety endpoint was severe bleeding not related to coronary artery bypass graft surgery (CABG) at 48 hours, according to the Global Use of Strategies to Open Occluded Coronary Arteries (GUSTO) criteria. Cangrelor significantly reduced the composite of death, MI, ischemia-driven revascularization, or stent thrombosis at 48 hours compared with the clopidogrel group (4.7 vs. 5.9%; p = 0.005), predominantly driven by reductions in the rate of MI and stent thrombosis. The treatment effect of cangrelor was consistent across subgroups regardless of the indication for PCI (stable angina or ACS) and whether the patient received a </w:t>
      </w:r>
      <w:r w:rsidRPr="00E00194">
        <w:rPr>
          <w:rFonts w:ascii="Times New Roman" w:eastAsia="Times New Roman" w:hAnsi="Times New Roman" w:cs="Times New Roman"/>
          <w:sz w:val="24"/>
          <w:szCs w:val="24"/>
        </w:rPr>
        <w:lastRenderedPageBreak/>
        <w:t>clopidogrel 300 mg or 600 mg loading dose. The reduction in periprocedural MI with cangrelor was consistent regardless of the definition used. According to the per-protocol definition, cangrelor significantly reduced the rate of MI (3.8 vs. 4.7%; p = 0.02). Additionally, there was a significant association between the occurrence of MI and mortality at 30 days. The reduction in stent thrombosis was also consistent across patients presenting with stable angina and ACS. Patients treated with cangrelor were less likely to need bailout GPIIb/IIIa inhibitors (2.3 vs. 3.5%; p &lt; 0.001) and had fewer procedural complications (3.4 vs. 4.5%; p = 0.002). Cangrelor significantly reduced the rate of intraprocedural stent thrombosis compared with clopidogrel (0.6 vs. 1.0%; p = 0.04). The primary safety endpoint, GUSTO severe bleeding, was infrequent, and the rates were not significantly different between groups (0.16 vs. 0.11%; p = 0.44), although ACUITY (Acute Catheterization and Urgent Intervention Triage Strategy) major bleeding (a more sensitive definition) was more frequent with cangrelor (4.3 vs. 2.5%; p &lt; 0.001), mainly owing to higher incidence of hematoma at the site of vascular access. There was no effect of cangrelor on bleeding based on access site used, although the absolute rates of bleeding were much lower with the radial approach (ACUITY major bleeding for femoral cohort, 5.2% with cangrelor vs. 3.1% with clopidogrel [p &lt; 0.0001]; radial cohort, 1.5% with cangrelor vs. 0.7% with clopidogrel [p = 0.04]). Overall, the net benefit in reduction of adverse clinical events (ischemic plus bleeding events) was significantly reduced in the cangrelor group.</w:t>
      </w:r>
      <w:r w:rsidRPr="00E00194">
        <w:rPr>
          <w:rFonts w:ascii="Times New Roman" w:eastAsia="Times New Roman" w:hAnsi="Times New Roman" w:cs="Times New Roman"/>
          <w:sz w:val="24"/>
          <w:szCs w:val="24"/>
          <w:vertAlign w:val="superscript"/>
        </w:rPr>
        <w:t>8</w:t>
      </w:r>
    </w:p>
    <w:p w14:paraId="4E11677F" w14:textId="77777777" w:rsidR="00E00194" w:rsidRPr="00E00194" w:rsidRDefault="00E00194" w:rsidP="00E00194">
      <w:p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The clinical benefit of adjunctive cangrelor therapy was consistent at 30 days. Interestingly, in the subgroup analysis of patients who received bivalirudin (n = 2,059), cangrelor significantly reduced ischemic events and stent thrombosis of a similar magnitude as CHAMPION PHOENIX.</w:t>
      </w:r>
      <w:r w:rsidRPr="00E00194">
        <w:rPr>
          <w:rFonts w:ascii="Times New Roman" w:eastAsia="Times New Roman" w:hAnsi="Times New Roman" w:cs="Times New Roman"/>
          <w:sz w:val="24"/>
          <w:szCs w:val="24"/>
          <w:vertAlign w:val="superscript"/>
        </w:rPr>
        <w:t>14</w:t>
      </w:r>
      <w:r w:rsidRPr="00E00194">
        <w:rPr>
          <w:rFonts w:ascii="Times New Roman" w:eastAsia="Times New Roman" w:hAnsi="Times New Roman" w:cs="Times New Roman"/>
          <w:sz w:val="24"/>
          <w:szCs w:val="24"/>
        </w:rPr>
        <w:t xml:space="preserve"> However, these results should be carefully interpreted because several analyses from multiple ACS trials have shown no association of periprocedural MI with long-term mortality. In addition, a position paper suggested a higher threshold of biomarker elevation be considered than was used in the CHAMPION PHOENIX analysis.</w:t>
      </w:r>
      <w:r w:rsidRPr="00E00194">
        <w:rPr>
          <w:rFonts w:ascii="Times New Roman" w:eastAsia="Times New Roman" w:hAnsi="Times New Roman" w:cs="Times New Roman"/>
          <w:sz w:val="24"/>
          <w:szCs w:val="24"/>
          <w:vertAlign w:val="superscript"/>
        </w:rPr>
        <w:t>15-17</w:t>
      </w:r>
      <w:r w:rsidRPr="00E00194">
        <w:rPr>
          <w:rFonts w:ascii="Times New Roman" w:eastAsia="Times New Roman" w:hAnsi="Times New Roman" w:cs="Times New Roman"/>
          <w:sz w:val="24"/>
          <w:szCs w:val="24"/>
        </w:rPr>
        <w:t xml:space="preserve"> Moreover, it has been suggested that post-PCI early bleeding may be a much stronger predictor of long-term mortality than periprocedural MI, second only to spontaneous MI.</w:t>
      </w:r>
      <w:r w:rsidRPr="00E00194">
        <w:rPr>
          <w:rFonts w:ascii="Times New Roman" w:eastAsia="Times New Roman" w:hAnsi="Times New Roman" w:cs="Times New Roman"/>
          <w:sz w:val="24"/>
          <w:szCs w:val="24"/>
          <w:vertAlign w:val="superscript"/>
        </w:rPr>
        <w:t>16</w:t>
      </w:r>
    </w:p>
    <w:p w14:paraId="0CBC47E2" w14:textId="77777777" w:rsidR="00E00194" w:rsidRPr="00E00194" w:rsidRDefault="00E00194" w:rsidP="00E00194">
      <w:p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Subsequently, a patient-level, pooled meta-analysis of all 3 phase III trials, involving a total of 24,910 patients, demonstrated that cangrelor significantly reduced the rate of the composite outcome of death, MI according to the universal definition, ischemia-driven revascularization, or stent thrombosis at 48 hours compared with clopidogrel (3.8 vs. 4.7%; OR 0.81, 95% CI, 0.71-0.91; p &lt; 0.001).</w:t>
      </w:r>
      <w:r w:rsidRPr="00E00194">
        <w:rPr>
          <w:rFonts w:ascii="Times New Roman" w:eastAsia="Times New Roman" w:hAnsi="Times New Roman" w:cs="Times New Roman"/>
          <w:sz w:val="24"/>
          <w:szCs w:val="24"/>
          <w:vertAlign w:val="superscript"/>
        </w:rPr>
        <w:t>18</w:t>
      </w:r>
      <w:r w:rsidRPr="00E00194">
        <w:rPr>
          <w:rFonts w:ascii="Times New Roman" w:eastAsia="Times New Roman" w:hAnsi="Times New Roman" w:cs="Times New Roman"/>
          <w:sz w:val="24"/>
          <w:szCs w:val="24"/>
        </w:rPr>
        <w:t xml:space="preserve"> Cangrelor also reduced the rate of the individual endpoint of stent thrombosis (0.5 vs. 0.8%; OR 0.59, 95% CI, 0.43-0.80; p &lt; 0.001). Cangrelor did not increase the risk of GUSTO severe bleeding, GUSTO moderate bleeding, or the need for blood transfusion but did increase ACUITY major bleeding (4.2 vs. 2.8%; p &lt; 0.001). However, when excluding hematomas greater than 5 cm in diameter, the absolute difference in ACUITY major bleeds was small but still statistically significant (1.3 vs. 1.0%; p = 0.007).</w:t>
      </w:r>
      <w:r w:rsidRPr="00E00194">
        <w:rPr>
          <w:rFonts w:ascii="Times New Roman" w:eastAsia="Times New Roman" w:hAnsi="Times New Roman" w:cs="Times New Roman"/>
          <w:sz w:val="24"/>
          <w:szCs w:val="24"/>
          <w:vertAlign w:val="superscript"/>
        </w:rPr>
        <w:t>18</w:t>
      </w:r>
    </w:p>
    <w:p w14:paraId="2E1E6D4A" w14:textId="77777777" w:rsidR="00E00194" w:rsidRPr="00E00194" w:rsidRDefault="00E00194" w:rsidP="00E00194">
      <w:p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Outside of the CHAMPION program, cangrelor has also been studied in the phase II clinical trial BRIDGE (Maintenance of Platelet Inhibition With Cangrelor After Discontinuation of Thienopyridines in Patients Undergoing Surgery).</w:t>
      </w:r>
      <w:r w:rsidRPr="00E00194">
        <w:rPr>
          <w:rFonts w:ascii="Times New Roman" w:eastAsia="Times New Roman" w:hAnsi="Times New Roman" w:cs="Times New Roman"/>
          <w:sz w:val="24"/>
          <w:szCs w:val="24"/>
          <w:vertAlign w:val="superscript"/>
        </w:rPr>
        <w:t>19</w:t>
      </w:r>
      <w:r w:rsidRPr="00E00194">
        <w:rPr>
          <w:rFonts w:ascii="Times New Roman" w:eastAsia="Times New Roman" w:hAnsi="Times New Roman" w:cs="Times New Roman"/>
          <w:sz w:val="24"/>
          <w:szCs w:val="24"/>
        </w:rPr>
        <w:t xml:space="preserve"> This double-blinded study evaluated the use of cangrelor with placebo in 210 patients with ACS or patients treated with a coronary stent who had received a thienopyridine and were awaiting CABG (within 48 hours to 7 days of randomization). Patients were randomized to receive a cangrelor "bridge" intravenous infusion or </w:t>
      </w:r>
      <w:r w:rsidRPr="00E00194">
        <w:rPr>
          <w:rFonts w:ascii="Times New Roman" w:eastAsia="Times New Roman" w:hAnsi="Times New Roman" w:cs="Times New Roman"/>
          <w:sz w:val="24"/>
          <w:szCs w:val="24"/>
        </w:rPr>
        <w:lastRenderedPageBreak/>
        <w:t>placebo infusion. The primary outcome of the BRIDGE trial was levels of platelet reactivity measured by the VerifyNow P2Y</w:t>
      </w:r>
      <w:r w:rsidRPr="00E00194">
        <w:rPr>
          <w:rFonts w:ascii="Times New Roman" w:eastAsia="Times New Roman" w:hAnsi="Times New Roman" w:cs="Times New Roman"/>
          <w:sz w:val="24"/>
          <w:szCs w:val="24"/>
          <w:vertAlign w:val="subscript"/>
        </w:rPr>
        <w:t>12</w:t>
      </w:r>
      <w:r w:rsidRPr="00E00194">
        <w:rPr>
          <w:rFonts w:ascii="Times New Roman" w:eastAsia="Times New Roman" w:hAnsi="Times New Roman" w:cs="Times New Roman"/>
          <w:sz w:val="24"/>
          <w:szCs w:val="24"/>
        </w:rPr>
        <w:t xml:space="preserve"> test (Accriva, San Diego, CA); specifically, the percentage of patients who maintained platelet reactivity of &lt;240 platelet reactivity units for all blood samples analyzed during study drug infusion before CABG. The main safety endpoint was excessive CABG-related bleeding. For the primary endpoint, a greater proportion of patients treated with cangrelor had low levels of platelet reactivity throughout the treatment period (98.8 vs. 19.0%; p &lt; 0.001). Excessive CABG-related bleeding was not significantly different between the cangrelor and placebo groups.</w:t>
      </w:r>
      <w:r w:rsidRPr="00E00194">
        <w:rPr>
          <w:rFonts w:ascii="Times New Roman" w:eastAsia="Times New Roman" w:hAnsi="Times New Roman" w:cs="Times New Roman"/>
          <w:sz w:val="24"/>
          <w:szCs w:val="24"/>
          <w:vertAlign w:val="superscript"/>
        </w:rPr>
        <w:t>19</w:t>
      </w:r>
      <w:r w:rsidRPr="00E00194">
        <w:rPr>
          <w:rFonts w:ascii="Times New Roman" w:eastAsia="Times New Roman" w:hAnsi="Times New Roman" w:cs="Times New Roman"/>
          <w:sz w:val="24"/>
          <w:szCs w:val="24"/>
        </w:rPr>
        <w:t xml:space="preserve"> Although this study was small and underpowered for hard outcomes such as death, MI, or stent thrombosis, the results support consideration of cangrelor for bridging patients who require discontinuation of an oral thienopyridine before surgery. However, cangrelor is not currently approved for this indication.</w:t>
      </w:r>
    </w:p>
    <w:p w14:paraId="60536E99" w14:textId="77777777" w:rsidR="00E00194" w:rsidRPr="00E00194" w:rsidRDefault="00E00194" w:rsidP="00E00194">
      <w:p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b/>
          <w:bCs/>
          <w:sz w:val="24"/>
          <w:szCs w:val="24"/>
        </w:rPr>
        <w:t>Transition to an Oral P2Y</w:t>
      </w:r>
      <w:r w:rsidRPr="00E00194">
        <w:rPr>
          <w:rFonts w:ascii="Times New Roman" w:eastAsia="Times New Roman" w:hAnsi="Times New Roman" w:cs="Times New Roman"/>
          <w:b/>
          <w:bCs/>
          <w:sz w:val="24"/>
          <w:szCs w:val="24"/>
          <w:vertAlign w:val="subscript"/>
        </w:rPr>
        <w:t>12</w:t>
      </w:r>
      <w:r w:rsidRPr="00E00194">
        <w:rPr>
          <w:rFonts w:ascii="Times New Roman" w:eastAsia="Times New Roman" w:hAnsi="Times New Roman" w:cs="Times New Roman"/>
          <w:b/>
          <w:bCs/>
          <w:sz w:val="24"/>
          <w:szCs w:val="24"/>
        </w:rPr>
        <w:t xml:space="preserve"> Inhibitor</w:t>
      </w:r>
    </w:p>
    <w:p w14:paraId="7BC6BEB1" w14:textId="77777777" w:rsidR="00E00194" w:rsidRPr="00E00194" w:rsidRDefault="00E00194" w:rsidP="00E00194">
      <w:p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Ultimately, the vast majority of patients receiving cangrelor will be switched to an oral P2Y</w:t>
      </w:r>
      <w:r w:rsidRPr="00E00194">
        <w:rPr>
          <w:rFonts w:ascii="Times New Roman" w:eastAsia="Times New Roman" w:hAnsi="Times New Roman" w:cs="Times New Roman"/>
          <w:sz w:val="24"/>
          <w:szCs w:val="24"/>
          <w:vertAlign w:val="subscript"/>
        </w:rPr>
        <w:t>12</w:t>
      </w:r>
      <w:r w:rsidRPr="00E00194">
        <w:rPr>
          <w:rFonts w:ascii="Times New Roman" w:eastAsia="Times New Roman" w:hAnsi="Times New Roman" w:cs="Times New Roman"/>
          <w:sz w:val="24"/>
          <w:szCs w:val="24"/>
        </w:rPr>
        <w:t xml:space="preserve"> inhibitor. The oral P2Y</w:t>
      </w:r>
      <w:r w:rsidRPr="00E00194">
        <w:rPr>
          <w:rFonts w:ascii="Times New Roman" w:eastAsia="Times New Roman" w:hAnsi="Times New Roman" w:cs="Times New Roman"/>
          <w:sz w:val="24"/>
          <w:szCs w:val="24"/>
          <w:vertAlign w:val="subscript"/>
        </w:rPr>
        <w:t>12</w:t>
      </w:r>
      <w:r w:rsidRPr="00E00194">
        <w:rPr>
          <w:rFonts w:ascii="Times New Roman" w:eastAsia="Times New Roman" w:hAnsi="Times New Roman" w:cs="Times New Roman"/>
          <w:sz w:val="24"/>
          <w:szCs w:val="24"/>
        </w:rPr>
        <w:t xml:space="preserve"> inhibitor should be given at the recommended loading dose (600 mg clopidogrel, 180 mg ticagrelor, or 60 mg prasugrel). Clopidogrel and prasugrel should be given immediately after discontinuation of cangrelor to reduce pharmacodynamic interactions. Due to the competitive binding with the same adenosine diphosphate-binding site for the P2Y</w:t>
      </w:r>
      <w:r w:rsidRPr="00E00194">
        <w:rPr>
          <w:rFonts w:ascii="Times New Roman" w:eastAsia="Times New Roman" w:hAnsi="Times New Roman" w:cs="Times New Roman"/>
          <w:sz w:val="24"/>
          <w:szCs w:val="24"/>
          <w:vertAlign w:val="subscript"/>
        </w:rPr>
        <w:t>12</w:t>
      </w:r>
      <w:r w:rsidRPr="00E00194">
        <w:rPr>
          <w:rFonts w:ascii="Times New Roman" w:eastAsia="Times New Roman" w:hAnsi="Times New Roman" w:cs="Times New Roman"/>
          <w:sz w:val="24"/>
          <w:szCs w:val="24"/>
        </w:rPr>
        <w:t xml:space="preserve"> receptor, cangrelor can attenuate the efficacy of these drugs.</w:t>
      </w:r>
      <w:r w:rsidRPr="00E00194">
        <w:rPr>
          <w:rFonts w:ascii="Times New Roman" w:eastAsia="Times New Roman" w:hAnsi="Times New Roman" w:cs="Times New Roman"/>
          <w:sz w:val="24"/>
          <w:szCs w:val="24"/>
          <w:vertAlign w:val="superscript"/>
        </w:rPr>
        <w:t>20,21</w:t>
      </w:r>
      <w:r w:rsidRPr="00E00194">
        <w:rPr>
          <w:rFonts w:ascii="Times New Roman" w:eastAsia="Times New Roman" w:hAnsi="Times New Roman" w:cs="Times New Roman"/>
          <w:sz w:val="24"/>
          <w:szCs w:val="24"/>
        </w:rPr>
        <w:t xml:space="preserve"> However, ticagrelor binds to the P2Y</w:t>
      </w:r>
      <w:r w:rsidRPr="00E00194">
        <w:rPr>
          <w:rFonts w:ascii="Times New Roman" w:eastAsia="Times New Roman" w:hAnsi="Times New Roman" w:cs="Times New Roman"/>
          <w:sz w:val="24"/>
          <w:szCs w:val="24"/>
          <w:vertAlign w:val="subscript"/>
        </w:rPr>
        <w:t>12</w:t>
      </w:r>
      <w:r w:rsidRPr="00E00194">
        <w:rPr>
          <w:rFonts w:ascii="Times New Roman" w:eastAsia="Times New Roman" w:hAnsi="Times New Roman" w:cs="Times New Roman"/>
          <w:sz w:val="24"/>
          <w:szCs w:val="24"/>
        </w:rPr>
        <w:t xml:space="preserve"> receptor at a different binding site in a non-competitive manner.</w:t>
      </w:r>
      <w:r w:rsidRPr="00E00194">
        <w:rPr>
          <w:rFonts w:ascii="Times New Roman" w:eastAsia="Times New Roman" w:hAnsi="Times New Roman" w:cs="Times New Roman"/>
          <w:sz w:val="24"/>
          <w:szCs w:val="24"/>
          <w:vertAlign w:val="superscript"/>
        </w:rPr>
        <w:t>23</w:t>
      </w:r>
      <w:r w:rsidRPr="00E00194">
        <w:rPr>
          <w:rFonts w:ascii="Times New Roman" w:eastAsia="Times New Roman" w:hAnsi="Times New Roman" w:cs="Times New Roman"/>
          <w:sz w:val="24"/>
          <w:szCs w:val="24"/>
        </w:rPr>
        <w:t xml:space="preserve"> In theory, administration of ticagrelor before cangrelor discontinuation would result in the most consistent suppression of platelet aggregation because there would be no gap between the dissipation of cangrelor's effect and the onset of effect of the oral P2Y</w:t>
      </w:r>
      <w:r w:rsidRPr="00E00194">
        <w:rPr>
          <w:rFonts w:ascii="Times New Roman" w:eastAsia="Times New Roman" w:hAnsi="Times New Roman" w:cs="Times New Roman"/>
          <w:sz w:val="24"/>
          <w:szCs w:val="24"/>
          <w:vertAlign w:val="subscript"/>
        </w:rPr>
        <w:t>12</w:t>
      </w:r>
      <w:r w:rsidRPr="00E00194">
        <w:rPr>
          <w:rFonts w:ascii="Times New Roman" w:eastAsia="Times New Roman" w:hAnsi="Times New Roman" w:cs="Times New Roman"/>
          <w:sz w:val="24"/>
          <w:szCs w:val="24"/>
        </w:rPr>
        <w:t xml:space="preserve"> inhibitor. Currently, ticagrelor can be administered before, during, or after cangrelor infusion. No drug interaction has been described when transitioning from any oral P2Y</w:t>
      </w:r>
      <w:r w:rsidRPr="00E00194">
        <w:rPr>
          <w:rFonts w:ascii="Times New Roman" w:eastAsia="Times New Roman" w:hAnsi="Times New Roman" w:cs="Times New Roman"/>
          <w:sz w:val="24"/>
          <w:szCs w:val="24"/>
          <w:vertAlign w:val="subscript"/>
        </w:rPr>
        <w:t>12</w:t>
      </w:r>
      <w:r w:rsidRPr="00E00194">
        <w:rPr>
          <w:rFonts w:ascii="Times New Roman" w:eastAsia="Times New Roman" w:hAnsi="Times New Roman" w:cs="Times New Roman"/>
          <w:sz w:val="24"/>
          <w:szCs w:val="24"/>
        </w:rPr>
        <w:t>-receptor inhibitor to cangrelor, which can therefore be started at any time.</w:t>
      </w:r>
      <w:r w:rsidRPr="00E00194">
        <w:rPr>
          <w:rFonts w:ascii="Times New Roman" w:eastAsia="Times New Roman" w:hAnsi="Times New Roman" w:cs="Times New Roman"/>
          <w:sz w:val="24"/>
          <w:szCs w:val="24"/>
          <w:vertAlign w:val="superscript"/>
        </w:rPr>
        <w:t>22</w:t>
      </w:r>
    </w:p>
    <w:p w14:paraId="128E87B6" w14:textId="77777777" w:rsidR="00E00194" w:rsidRPr="00E00194" w:rsidRDefault="00E00194" w:rsidP="00E00194">
      <w:p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b/>
          <w:bCs/>
          <w:sz w:val="24"/>
          <w:szCs w:val="24"/>
        </w:rPr>
        <w:t>Place in Therapy: Cangrelor</w:t>
      </w:r>
    </w:p>
    <w:p w14:paraId="00F90AE4" w14:textId="77777777" w:rsidR="00E00194" w:rsidRPr="00E00194" w:rsidRDefault="00E00194" w:rsidP="00E00194">
      <w:p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An estimated 5-6% of patients with STEMI experience resuscitated cardiac arrest, and 64% of those patients will be unconscious during initial evaluation, with many proceeding to primary PCI.</w:t>
      </w:r>
      <w:r w:rsidRPr="00E00194">
        <w:rPr>
          <w:rFonts w:ascii="Times New Roman" w:eastAsia="Times New Roman" w:hAnsi="Times New Roman" w:cs="Times New Roman"/>
          <w:sz w:val="24"/>
          <w:szCs w:val="24"/>
          <w:vertAlign w:val="superscript"/>
        </w:rPr>
        <w:t>23</w:t>
      </w:r>
      <w:r w:rsidRPr="00E00194">
        <w:rPr>
          <w:rFonts w:ascii="Times New Roman" w:eastAsia="Times New Roman" w:hAnsi="Times New Roman" w:cs="Times New Roman"/>
          <w:sz w:val="24"/>
          <w:szCs w:val="24"/>
        </w:rPr>
        <w:t xml:space="preserve"> These patients and any patient who cannot take oral medications (for example, the patient is vomiting or sedated) would be potential candidates for intravenous antiplatelet therapy. In addition, an early reduced pharmacodynamic effect of prasugrel and ticagrelor has been reported in these patients.</w:t>
      </w:r>
      <w:r w:rsidRPr="00E00194">
        <w:rPr>
          <w:rFonts w:ascii="Times New Roman" w:eastAsia="Times New Roman" w:hAnsi="Times New Roman" w:cs="Times New Roman"/>
          <w:sz w:val="24"/>
          <w:szCs w:val="24"/>
          <w:vertAlign w:val="superscript"/>
        </w:rPr>
        <w:t>24</w:t>
      </w:r>
      <w:r w:rsidRPr="00E00194">
        <w:rPr>
          <w:rFonts w:ascii="Times New Roman" w:eastAsia="Times New Roman" w:hAnsi="Times New Roman" w:cs="Times New Roman"/>
          <w:sz w:val="24"/>
          <w:szCs w:val="24"/>
        </w:rPr>
        <w:t xml:space="preserve"> Use of cangrelor in the patient with stable CAD who is being considered for ad hoc PCI after coronary angiography is a major consideration to reduce post-PCI thrombotic events.</w:t>
      </w:r>
      <w:r w:rsidRPr="00E00194">
        <w:rPr>
          <w:rFonts w:ascii="Times New Roman" w:eastAsia="Times New Roman" w:hAnsi="Times New Roman" w:cs="Times New Roman"/>
          <w:sz w:val="24"/>
          <w:szCs w:val="24"/>
          <w:vertAlign w:val="superscript"/>
        </w:rPr>
        <w:t>25</w:t>
      </w:r>
      <w:r w:rsidRPr="00E00194">
        <w:rPr>
          <w:rFonts w:ascii="Times New Roman" w:eastAsia="Times New Roman" w:hAnsi="Times New Roman" w:cs="Times New Roman"/>
          <w:sz w:val="24"/>
          <w:szCs w:val="24"/>
        </w:rPr>
        <w:t xml:space="preserve"> Bridging therapy in patients treated with antiplatelet agents to reduce the risk of thrombotic events in the phase between drug cessation and surgery may also be a role for cangrelor in the future, even though it is not currently a labeled as an indication. In preparation for surgery, P2Y</w:t>
      </w:r>
      <w:r w:rsidRPr="00E00194">
        <w:rPr>
          <w:rFonts w:ascii="Times New Roman" w:eastAsia="Times New Roman" w:hAnsi="Times New Roman" w:cs="Times New Roman"/>
          <w:sz w:val="24"/>
          <w:szCs w:val="24"/>
          <w:vertAlign w:val="subscript"/>
        </w:rPr>
        <w:t>12</w:t>
      </w:r>
      <w:r w:rsidRPr="00E00194">
        <w:rPr>
          <w:rFonts w:ascii="Times New Roman" w:eastAsia="Times New Roman" w:hAnsi="Times New Roman" w:cs="Times New Roman"/>
          <w:sz w:val="24"/>
          <w:szCs w:val="24"/>
        </w:rPr>
        <w:t xml:space="preserve"> inhibitors are commonly discontinued 5-7 days before surgery to minimize bleeding risk during the procedure.</w:t>
      </w:r>
      <w:r w:rsidRPr="00E00194">
        <w:rPr>
          <w:rFonts w:ascii="Times New Roman" w:eastAsia="Times New Roman" w:hAnsi="Times New Roman" w:cs="Times New Roman"/>
          <w:sz w:val="24"/>
          <w:szCs w:val="24"/>
          <w:vertAlign w:val="superscript"/>
        </w:rPr>
        <w:t>4,5</w:t>
      </w:r>
      <w:r w:rsidRPr="00E00194">
        <w:rPr>
          <w:rFonts w:ascii="Times New Roman" w:eastAsia="Times New Roman" w:hAnsi="Times New Roman" w:cs="Times New Roman"/>
          <w:sz w:val="24"/>
          <w:szCs w:val="24"/>
        </w:rPr>
        <w:t xml:space="preserve"> The latter practice can be especially problematic in patients who have undergone recent drug-eluting stenting and who are at risk for thrombosis if antiplatelet therapy is interrupted.</w:t>
      </w:r>
      <w:r w:rsidRPr="00E00194">
        <w:rPr>
          <w:rFonts w:ascii="Times New Roman" w:eastAsia="Times New Roman" w:hAnsi="Times New Roman" w:cs="Times New Roman"/>
          <w:sz w:val="24"/>
          <w:szCs w:val="24"/>
          <w:vertAlign w:val="superscript"/>
        </w:rPr>
        <w:t>26</w:t>
      </w:r>
      <w:r w:rsidRPr="00E00194">
        <w:rPr>
          <w:rFonts w:ascii="Times New Roman" w:eastAsia="Times New Roman" w:hAnsi="Times New Roman" w:cs="Times New Roman"/>
          <w:sz w:val="24"/>
          <w:szCs w:val="24"/>
        </w:rPr>
        <w:t xml:space="preserve"> GPIIb/IIIa inhibitors have been used as an antiplatelet bridge to surgery, although the safety and efficacy of this approach has also not been clearly established.</w:t>
      </w:r>
      <w:r w:rsidRPr="00E00194">
        <w:rPr>
          <w:rFonts w:ascii="Times New Roman" w:eastAsia="Times New Roman" w:hAnsi="Times New Roman" w:cs="Times New Roman"/>
          <w:sz w:val="24"/>
          <w:szCs w:val="24"/>
          <w:vertAlign w:val="superscript"/>
        </w:rPr>
        <w:t>27,28</w:t>
      </w:r>
      <w:r w:rsidRPr="00E00194">
        <w:rPr>
          <w:rFonts w:ascii="Times New Roman" w:eastAsia="Times New Roman" w:hAnsi="Times New Roman" w:cs="Times New Roman"/>
          <w:sz w:val="24"/>
          <w:szCs w:val="24"/>
        </w:rPr>
        <w:t xml:space="preserve"> Cangrelor is currently indicated for patients who have not been treated with a </w:t>
      </w:r>
      <w:r w:rsidRPr="00E00194">
        <w:rPr>
          <w:rFonts w:ascii="Times New Roman" w:eastAsia="Times New Roman" w:hAnsi="Times New Roman" w:cs="Times New Roman"/>
          <w:sz w:val="24"/>
          <w:szCs w:val="24"/>
        </w:rPr>
        <w:lastRenderedPageBreak/>
        <w:t>P2Y</w:t>
      </w:r>
      <w:r w:rsidRPr="00E00194">
        <w:rPr>
          <w:rFonts w:ascii="Times New Roman" w:eastAsia="Times New Roman" w:hAnsi="Times New Roman" w:cs="Times New Roman"/>
          <w:sz w:val="24"/>
          <w:szCs w:val="24"/>
          <w:vertAlign w:val="subscript"/>
        </w:rPr>
        <w:t>12</w:t>
      </w:r>
      <w:r w:rsidRPr="00E00194">
        <w:rPr>
          <w:rFonts w:ascii="Times New Roman" w:eastAsia="Times New Roman" w:hAnsi="Times New Roman" w:cs="Times New Roman"/>
          <w:sz w:val="24"/>
          <w:szCs w:val="24"/>
        </w:rPr>
        <w:t xml:space="preserve"> inhibitor. It should be noted that cangrelor has not been adequately studied in head-to-head comparisons with ticagrelor and prasugrel. Whether cangrelor adds clinical benefit to patients treated with these agents is entirely unknown.</w:t>
      </w:r>
    </w:p>
    <w:p w14:paraId="6D238206" w14:textId="77777777" w:rsidR="00E00194" w:rsidRPr="00E00194" w:rsidRDefault="00E00194" w:rsidP="00E00194">
      <w:p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An international expert consensus on switching platelet P2Y</w:t>
      </w:r>
      <w:r w:rsidRPr="00E00194">
        <w:rPr>
          <w:rFonts w:ascii="Times New Roman" w:eastAsia="Times New Roman" w:hAnsi="Times New Roman" w:cs="Times New Roman"/>
          <w:sz w:val="24"/>
          <w:szCs w:val="24"/>
          <w:vertAlign w:val="subscript"/>
        </w:rPr>
        <w:t>12</w:t>
      </w:r>
      <w:r w:rsidRPr="00E00194">
        <w:rPr>
          <w:rFonts w:ascii="Times New Roman" w:eastAsia="Times New Roman" w:hAnsi="Times New Roman" w:cs="Times New Roman"/>
          <w:sz w:val="24"/>
          <w:szCs w:val="24"/>
        </w:rPr>
        <w:t xml:space="preserve"> receptor-inhibiting therapies suggested that it is reasonable to wait to start cangrelor bridging (0.75 mcg/kg/min infusion without a bolus) for up to 3-4 days after prasugrel discontinuation and 2-3 days of clopidogrel and ticagrelor discontinuation to minimize the duration of infusion. Platelet function testing might also help to time the initiation of cangrelor bridging in an efficient fashion. With respect to transition from cangrelor to thienopyridines, it was suggested to administer the thienopyridine immediately after discontinuation of cangrelor with a loading dose (clopidogrel 600 mg or prasugrel 60 mg) to avoid a potential drug-drug interaction. Ticagrelor should be administered immediately after discontinuation of cangrelor infusion or up to 30 minutes before the end of the infusion as a 180 mg loading dose.</w:t>
      </w:r>
      <w:r w:rsidRPr="00E00194">
        <w:rPr>
          <w:rFonts w:ascii="Times New Roman" w:eastAsia="Times New Roman" w:hAnsi="Times New Roman" w:cs="Times New Roman"/>
          <w:sz w:val="24"/>
          <w:szCs w:val="24"/>
          <w:vertAlign w:val="superscript"/>
        </w:rPr>
        <w:t>22</w:t>
      </w:r>
    </w:p>
    <w:p w14:paraId="06401F0A" w14:textId="77777777" w:rsidR="00E00194" w:rsidRPr="00E00194" w:rsidRDefault="00E00194" w:rsidP="00E00194">
      <w:p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b/>
          <w:bCs/>
          <w:sz w:val="24"/>
          <w:szCs w:val="24"/>
        </w:rPr>
        <w:t>GPIIb/IIIa Inhibitors</w:t>
      </w:r>
    </w:p>
    <w:p w14:paraId="64F36F37" w14:textId="77777777" w:rsidR="00E00194" w:rsidRPr="00E00194" w:rsidRDefault="00E00194" w:rsidP="00E00194">
      <w:p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In the era of balloon angioplasty, the addition of GPIIb/IIIa inhibitors to the armamentarium of antiplatelet agents represented a significant therapeutic advance compared with therapy with aspirin plus unfractionated heparin. GPIIb/IIIa inhibitors inhibit the final pathway of platelet aggregation by competing with von Willebrand factor and fibrinogen for GPIIb/IIIa receptor binding. GPIIb/IIIa inhibitors provide fast and potent antiplatelet effects. Compared with cangrelor, these agents inhibit the platelet response to all agonists and are therefore more potent antiplatelet agents than cangrelor. GPIIb/IIIa inhibitors provide rapid and nearly complete platelet aggregation inhibition, overcoming the delayed and poor platelet inhibition induced by a clopidogrel loading dose.</w:t>
      </w:r>
      <w:r w:rsidRPr="00E00194">
        <w:rPr>
          <w:rFonts w:ascii="Times New Roman" w:eastAsia="Times New Roman" w:hAnsi="Times New Roman" w:cs="Times New Roman"/>
          <w:sz w:val="24"/>
          <w:szCs w:val="24"/>
          <w:vertAlign w:val="superscript"/>
        </w:rPr>
        <w:t>29</w:t>
      </w:r>
      <w:r w:rsidRPr="00E00194">
        <w:rPr>
          <w:rFonts w:ascii="Times New Roman" w:eastAsia="Times New Roman" w:hAnsi="Times New Roman" w:cs="Times New Roman"/>
          <w:sz w:val="24"/>
          <w:szCs w:val="24"/>
        </w:rPr>
        <w:t xml:space="preserve"> The benefits of pretreatment with GPIIb/IIIa inhibitors were noted in high-risk patients in early clinical trials that showed a significant reduction in MI and urgent revascularization before and after angioplasty.</w:t>
      </w:r>
      <w:r w:rsidRPr="00E00194">
        <w:rPr>
          <w:rFonts w:ascii="Times New Roman" w:eastAsia="Times New Roman" w:hAnsi="Times New Roman" w:cs="Times New Roman"/>
          <w:sz w:val="24"/>
          <w:szCs w:val="24"/>
          <w:vertAlign w:val="superscript"/>
        </w:rPr>
        <w:t>30,31</w:t>
      </w:r>
      <w:r w:rsidRPr="00E00194">
        <w:rPr>
          <w:rFonts w:ascii="Times New Roman" w:eastAsia="Times New Roman" w:hAnsi="Times New Roman" w:cs="Times New Roman"/>
          <w:sz w:val="24"/>
          <w:szCs w:val="24"/>
        </w:rPr>
        <w:t xml:space="preserve"> However, the clinical benefits of GPIIb/IIIa inhibitors were mainly shown in the era before the routine use of dual antiplatelet therapy, the advent of new stent technologies, radial artery interventions, thrombus aspiration, potent oral P2Y</w:t>
      </w:r>
      <w:r w:rsidRPr="00E00194">
        <w:rPr>
          <w:rFonts w:ascii="Times New Roman" w:eastAsia="Times New Roman" w:hAnsi="Times New Roman" w:cs="Times New Roman"/>
          <w:sz w:val="24"/>
          <w:szCs w:val="24"/>
          <w:vertAlign w:val="subscript"/>
        </w:rPr>
        <w:t>12</w:t>
      </w:r>
      <w:r w:rsidRPr="00E00194">
        <w:rPr>
          <w:rFonts w:ascii="Times New Roman" w:eastAsia="Times New Roman" w:hAnsi="Times New Roman" w:cs="Times New Roman"/>
          <w:sz w:val="24"/>
          <w:szCs w:val="24"/>
        </w:rPr>
        <w:t xml:space="preserve"> inhibitors, and direct thrombin inhibitors. Currently, GPIIb/IIIa inhibitors are used in up to one-third of patients during PCI for ACS in the United States,</w:t>
      </w:r>
      <w:r w:rsidRPr="00E00194">
        <w:rPr>
          <w:rFonts w:ascii="Times New Roman" w:eastAsia="Times New Roman" w:hAnsi="Times New Roman" w:cs="Times New Roman"/>
          <w:sz w:val="24"/>
          <w:szCs w:val="24"/>
          <w:vertAlign w:val="superscript"/>
        </w:rPr>
        <w:t>32</w:t>
      </w:r>
      <w:r w:rsidRPr="00E00194">
        <w:rPr>
          <w:rFonts w:ascii="Times New Roman" w:eastAsia="Times New Roman" w:hAnsi="Times New Roman" w:cs="Times New Roman"/>
          <w:sz w:val="24"/>
          <w:szCs w:val="24"/>
        </w:rPr>
        <w:t xml:space="preserve"> and their use varies by geographic region,</w:t>
      </w:r>
      <w:r w:rsidRPr="00E00194">
        <w:rPr>
          <w:rFonts w:ascii="Times New Roman" w:eastAsia="Times New Roman" w:hAnsi="Times New Roman" w:cs="Times New Roman"/>
          <w:sz w:val="24"/>
          <w:szCs w:val="24"/>
          <w:vertAlign w:val="superscript"/>
        </w:rPr>
        <w:t>33</w:t>
      </w:r>
      <w:r w:rsidRPr="00E00194">
        <w:rPr>
          <w:rFonts w:ascii="Times New Roman" w:eastAsia="Times New Roman" w:hAnsi="Times New Roman" w:cs="Times New Roman"/>
          <w:sz w:val="24"/>
          <w:szCs w:val="24"/>
        </w:rPr>
        <w:t xml:space="preserve"> provider preference, indication for PCI, and associated comorbidities.</w:t>
      </w:r>
    </w:p>
    <w:p w14:paraId="69FE6DBD" w14:textId="77777777" w:rsidR="00E00194" w:rsidRPr="00E00194" w:rsidRDefault="00E00194" w:rsidP="00E00194">
      <w:p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GPIIb/IIIa inhibitor therapy has been associated with a reduction in adverse cardiovascular events, including MI, at the expense of increased bleeding and thrombocytopenia.</w:t>
      </w:r>
      <w:r w:rsidRPr="00E00194">
        <w:rPr>
          <w:rFonts w:ascii="Times New Roman" w:eastAsia="Times New Roman" w:hAnsi="Times New Roman" w:cs="Times New Roman"/>
          <w:sz w:val="24"/>
          <w:szCs w:val="24"/>
          <w:vertAlign w:val="superscript"/>
        </w:rPr>
        <w:t>32,34,35</w:t>
      </w:r>
      <w:r w:rsidRPr="00E00194">
        <w:rPr>
          <w:rFonts w:ascii="Times New Roman" w:eastAsia="Times New Roman" w:hAnsi="Times New Roman" w:cs="Times New Roman"/>
          <w:sz w:val="24"/>
          <w:szCs w:val="24"/>
        </w:rPr>
        <w:t xml:space="preserve"> More recent trials and systematic reviews, specifically in patients pre-treated with thienopyridines, have shown contradicting evidence in the benefit of routine use of GPIIb/IIIa inhibitors.</w:t>
      </w:r>
      <w:r w:rsidRPr="00E00194">
        <w:rPr>
          <w:rFonts w:ascii="Times New Roman" w:eastAsia="Times New Roman" w:hAnsi="Times New Roman" w:cs="Times New Roman"/>
          <w:sz w:val="24"/>
          <w:szCs w:val="24"/>
          <w:vertAlign w:val="superscript"/>
        </w:rPr>
        <w:t>32,34-36</w:t>
      </w:r>
      <w:r w:rsidRPr="00E00194">
        <w:rPr>
          <w:rFonts w:ascii="Times New Roman" w:eastAsia="Times New Roman" w:hAnsi="Times New Roman" w:cs="Times New Roman"/>
          <w:sz w:val="24"/>
          <w:szCs w:val="24"/>
        </w:rPr>
        <w:t xml:space="preserve"> In a meta-analysis of 10,123 patients undergoing primary PCI, nonfatal MI at 30 days was reduced from 8.3 to 5.1% (p &lt; 0.001) with use of GPIIb/IIIa inhibitors at the expense of a significant increase in the risk of minor bleeding (3 vs. 1.7%; p &lt; 0.001) and thrombocytopenia (0.8 vs. 0.04%; p = 0.004).</w:t>
      </w:r>
      <w:r w:rsidRPr="00E00194">
        <w:rPr>
          <w:rFonts w:ascii="Times New Roman" w:eastAsia="Times New Roman" w:hAnsi="Times New Roman" w:cs="Times New Roman"/>
          <w:sz w:val="24"/>
          <w:szCs w:val="24"/>
          <w:vertAlign w:val="superscript"/>
        </w:rPr>
        <w:t>36</w:t>
      </w:r>
      <w:r w:rsidRPr="00E00194">
        <w:rPr>
          <w:rFonts w:ascii="Times New Roman" w:eastAsia="Times New Roman" w:hAnsi="Times New Roman" w:cs="Times New Roman"/>
          <w:sz w:val="24"/>
          <w:szCs w:val="24"/>
        </w:rPr>
        <w:t xml:space="preserve"> The increase in major bleeding events was not significant (1.2 vs. 0.9%; p = 0.22). The reduction in nonfatal MI was irrespective of thienopyridine pre-treatment, and upon meta-regression, the benefits of GPIIb/IIIa inhibitors were consistent in earlier versus more recent clinical trials. There were no differences in 30-day or 1-year mortality rates. With the introduction of more potent adenosine diphosphate-receptor blockers, the incremental value of </w:t>
      </w:r>
      <w:r w:rsidRPr="00E00194">
        <w:rPr>
          <w:rFonts w:ascii="Times New Roman" w:eastAsia="Times New Roman" w:hAnsi="Times New Roman" w:cs="Times New Roman"/>
          <w:sz w:val="24"/>
          <w:szCs w:val="24"/>
        </w:rPr>
        <w:lastRenderedPageBreak/>
        <w:t>GPIIb/IIIa inhibitors in reducing periprocedural MI remains to be determined. Currently, the administration of GPIIb/IIIa inhibitors is an accepted treatment option for patients undergoing primary PCI and patients with visible thrombus burden.</w:t>
      </w:r>
    </w:p>
    <w:p w14:paraId="60C4E6EA" w14:textId="77777777" w:rsidR="00E00194" w:rsidRPr="00E00194" w:rsidRDefault="00E00194" w:rsidP="00E00194">
      <w:p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Another approach in administering GPIIb/IIIa inhibitors is through the intracoronary route of delivery. This approach can lead to a higher local concentration of antiplatelet agent aiding in a higher receptor occupancy with disruption of platelet crosslinking and augmenting thrombus resolution to a greater extent.</w:t>
      </w:r>
      <w:r w:rsidRPr="00E00194">
        <w:rPr>
          <w:rFonts w:ascii="Times New Roman" w:eastAsia="Times New Roman" w:hAnsi="Times New Roman" w:cs="Times New Roman"/>
          <w:sz w:val="24"/>
          <w:szCs w:val="24"/>
          <w:vertAlign w:val="superscript"/>
        </w:rPr>
        <w:t>37-39</w:t>
      </w:r>
      <w:r w:rsidRPr="00E00194">
        <w:rPr>
          <w:rFonts w:ascii="Times New Roman" w:eastAsia="Times New Roman" w:hAnsi="Times New Roman" w:cs="Times New Roman"/>
          <w:sz w:val="24"/>
          <w:szCs w:val="24"/>
        </w:rPr>
        <w:t xml:space="preserve"> Intracoronary GPIIb/IIIa inhibitor therapy may also limit the risk of myocardial damage from thromboembolism in the microvasculature. Intracoronary administration of GPIIb/IIIa inhibitor has been tested in several small studies and shown to be safe and associated with some benefits when compared with intravenous administration, but these results have not been confirmed in large-scale clinical trials.</w:t>
      </w:r>
      <w:r w:rsidRPr="00E00194">
        <w:rPr>
          <w:rFonts w:ascii="Times New Roman" w:eastAsia="Times New Roman" w:hAnsi="Times New Roman" w:cs="Times New Roman"/>
          <w:sz w:val="24"/>
          <w:szCs w:val="24"/>
          <w:vertAlign w:val="superscript"/>
        </w:rPr>
        <w:t>40-44</w:t>
      </w:r>
    </w:p>
    <w:p w14:paraId="7CDB977D" w14:textId="77777777" w:rsidR="00E00194" w:rsidRPr="00E00194" w:rsidRDefault="00E00194" w:rsidP="00E00194">
      <w:p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Strategies employing shorter GPIIb/IIIa inhibitor infusions and use of a radial approach may provide greater degrees of net benefit. Earlier trials of GPIIb/IIIa inhibitors employed 18-24 hour infusions, and these durations of therapy were associated with greater bleeding than their comparator arms that included use of bivalirudin.</w:t>
      </w:r>
      <w:r w:rsidRPr="00E00194">
        <w:rPr>
          <w:rFonts w:ascii="Times New Roman" w:eastAsia="Times New Roman" w:hAnsi="Times New Roman" w:cs="Times New Roman"/>
          <w:sz w:val="24"/>
          <w:szCs w:val="24"/>
          <w:vertAlign w:val="superscript"/>
        </w:rPr>
        <w:t>45-47</w:t>
      </w:r>
      <w:r w:rsidRPr="00E00194">
        <w:rPr>
          <w:rFonts w:ascii="Times New Roman" w:eastAsia="Times New Roman" w:hAnsi="Times New Roman" w:cs="Times New Roman"/>
          <w:sz w:val="24"/>
          <w:szCs w:val="24"/>
        </w:rPr>
        <w:t xml:space="preserve"> GPIIb/IIIa inhibitors have the greatest role in the treatment of high-risk patients and those with high-risk PCI angiographic features (visible thrombus and high-risk anatomy) who have low risk of bleeding.</w:t>
      </w:r>
      <w:r w:rsidRPr="00E00194">
        <w:rPr>
          <w:rFonts w:ascii="Times New Roman" w:eastAsia="Times New Roman" w:hAnsi="Times New Roman" w:cs="Times New Roman"/>
          <w:sz w:val="24"/>
          <w:szCs w:val="24"/>
          <w:vertAlign w:val="superscript"/>
        </w:rPr>
        <w:t>48</w:t>
      </w:r>
      <w:r w:rsidRPr="00E00194">
        <w:rPr>
          <w:rFonts w:ascii="Times New Roman" w:eastAsia="Times New Roman" w:hAnsi="Times New Roman" w:cs="Times New Roman"/>
          <w:sz w:val="24"/>
          <w:szCs w:val="24"/>
        </w:rPr>
        <w:t xml:space="preserve"> Currently, the American College of Cardiology and American Heart Association guidelines provide a Class IIa recommendation for GPIIb/IIIa inhibitors at the time of primary PCI (abciximab, double-bolus eptifibatide, or high-bolus-dose tirofiban) in selected patients with STEMI receiving unfractionated heparin (with or without stenting or clopidogrel pretreatment), and a Class IIb indication for intracoronary Abciximab.</w:t>
      </w:r>
      <w:r w:rsidRPr="00E00194">
        <w:rPr>
          <w:rFonts w:ascii="Times New Roman" w:eastAsia="Times New Roman" w:hAnsi="Times New Roman" w:cs="Times New Roman"/>
          <w:sz w:val="24"/>
          <w:szCs w:val="24"/>
          <w:vertAlign w:val="superscript"/>
        </w:rPr>
        <w:t>3,5</w:t>
      </w:r>
      <w:r w:rsidRPr="00E00194">
        <w:rPr>
          <w:rFonts w:ascii="Times New Roman" w:eastAsia="Times New Roman" w:hAnsi="Times New Roman" w:cs="Times New Roman"/>
          <w:sz w:val="24"/>
          <w:szCs w:val="24"/>
        </w:rPr>
        <w:t xml:space="preserve"> With the evolution of PCI complexity, GPIIb/IIIa inhibitors may still play a significant role in challenging clinical settings, such as settings of complex elective anatomy and cardiogenic shock where there are inadequate antiplatelet effects present. These patient subgroups were largely excluded in previous studies. </w:t>
      </w:r>
    </w:p>
    <w:p w14:paraId="0F4F999D" w14:textId="77777777" w:rsidR="00E00194" w:rsidRPr="00E00194" w:rsidRDefault="00E00194" w:rsidP="00E00194">
      <w:p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b/>
          <w:bCs/>
          <w:sz w:val="24"/>
          <w:szCs w:val="24"/>
        </w:rPr>
        <w:t>Place in Therapy: GPIIb/IIIa Inhibitors</w:t>
      </w:r>
    </w:p>
    <w:p w14:paraId="7BC4D19B" w14:textId="77777777" w:rsidR="00E00194" w:rsidRPr="00E00194" w:rsidRDefault="00E00194" w:rsidP="00E00194">
      <w:p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The ideal parenteral antiplatelet agent would provide immediate and robust periprocedural ischemic benefit without attendant excess bleeding risk.</w:t>
      </w:r>
      <w:r w:rsidRPr="00E00194">
        <w:rPr>
          <w:rFonts w:ascii="Times New Roman" w:eastAsia="Times New Roman" w:hAnsi="Times New Roman" w:cs="Times New Roman"/>
          <w:sz w:val="24"/>
          <w:szCs w:val="24"/>
          <w:vertAlign w:val="superscript"/>
        </w:rPr>
        <w:t>3</w:t>
      </w:r>
      <w:r w:rsidRPr="00E00194">
        <w:rPr>
          <w:rFonts w:ascii="Times New Roman" w:eastAsia="Times New Roman" w:hAnsi="Times New Roman" w:cs="Times New Roman"/>
          <w:sz w:val="24"/>
          <w:szCs w:val="24"/>
        </w:rPr>
        <w:t xml:space="preserve"> GPIIb/IIIa inhibitors have been associated with reduced thrombotic events after PCI compared with heparin and bivalirudin therapy alone,</w:t>
      </w:r>
      <w:r w:rsidRPr="00E00194">
        <w:rPr>
          <w:rFonts w:ascii="Times New Roman" w:eastAsia="Times New Roman" w:hAnsi="Times New Roman" w:cs="Times New Roman"/>
          <w:sz w:val="24"/>
          <w:szCs w:val="24"/>
          <w:vertAlign w:val="superscript"/>
        </w:rPr>
        <w:t>3-5,35,49</w:t>
      </w:r>
      <w:r w:rsidRPr="00E00194">
        <w:rPr>
          <w:rFonts w:ascii="Times New Roman" w:eastAsia="Times New Roman" w:hAnsi="Times New Roman" w:cs="Times New Roman"/>
          <w:sz w:val="24"/>
          <w:szCs w:val="24"/>
        </w:rPr>
        <w:t xml:space="preserve"> but their routine use, notably with prolonged infusion durations, has been associated with increased severe bleeding complications</w:t>
      </w:r>
      <w:r w:rsidRPr="00E00194">
        <w:rPr>
          <w:rFonts w:ascii="Times New Roman" w:eastAsia="Times New Roman" w:hAnsi="Times New Roman" w:cs="Times New Roman"/>
          <w:sz w:val="24"/>
          <w:szCs w:val="24"/>
          <w:vertAlign w:val="superscript"/>
        </w:rPr>
        <w:t>50</w:t>
      </w:r>
      <w:r w:rsidRPr="00E00194">
        <w:rPr>
          <w:rFonts w:ascii="Times New Roman" w:eastAsia="Times New Roman" w:hAnsi="Times New Roman" w:cs="Times New Roman"/>
          <w:sz w:val="24"/>
          <w:szCs w:val="24"/>
        </w:rPr>
        <w:t xml:space="preserve"> and potentially increased PCI-related costs. Provisional use of GPIIb/IIIa inhibitors, shortened GPIIb/IIIa inhibitor infusion duration, novel delivery systems, and augmented use of radial access will likely improve the net clinical benefit of GPIIb/IIIa inhibitors. Moreover, the effect of inhibition of all agonist-induced pathways of platelet aggregation by GPIIb/IIIa inhibitors compared with cangrelor may provide greater protection from ischemic events. Furthermore, recent advances in the overall quality in periprocedural care that have led to stepwise improvements in PCI outcomes will potentially influence the risk-benefit profile of GPIIb/IIIa inhibitors. At present, there are no randomized clinical trials comparing the utility of cangrelor and GPIIb/IIIa inhibitors. GPIIb/IIIa inhibitor use is expected to continue in bailout/rescue scenarios, but the introduction and uptake of cangrelor may also limit their use in clinical practice.</w:t>
      </w:r>
    </w:p>
    <w:p w14:paraId="48AA22A4" w14:textId="77777777" w:rsidR="00E00194" w:rsidRPr="00E00194" w:rsidRDefault="00E00194" w:rsidP="00E00194">
      <w:p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lastRenderedPageBreak/>
        <w:t>In conclusion, with the increasing complexity of PCI in the high-risk patient, parenteral antiplatelet agents continue to have an important therapeutic role. Limitations in the pharmacodynamic effects of all oral P2Y</w:t>
      </w:r>
      <w:r w:rsidRPr="00E00194">
        <w:rPr>
          <w:rFonts w:ascii="Times New Roman" w:eastAsia="Times New Roman" w:hAnsi="Times New Roman" w:cs="Times New Roman"/>
          <w:sz w:val="24"/>
          <w:szCs w:val="24"/>
          <w:vertAlign w:val="subscript"/>
        </w:rPr>
        <w:t>12</w:t>
      </w:r>
      <w:r w:rsidRPr="00E00194">
        <w:rPr>
          <w:rFonts w:ascii="Times New Roman" w:eastAsia="Times New Roman" w:hAnsi="Times New Roman" w:cs="Times New Roman"/>
          <w:sz w:val="24"/>
          <w:szCs w:val="24"/>
        </w:rPr>
        <w:t xml:space="preserve"> inhibitors are well described. Insufficient platelet inhibition has been associated with periprocedural thrombotic events in numerous studies. Parenteral agents obviate these limitations but are associated with greater bleeding. Whether to use cangrelor or GPIIb/IIIa inhibitors is an unresolved issue that has yet to be adequately addressed in a clinical trial. Moreover, whether GPIIb/IIIa inhibitors or cangrelor add significant clinical antithrombotic effects in the patient with strong P2Y</w:t>
      </w:r>
      <w:r w:rsidRPr="00E00194">
        <w:rPr>
          <w:rFonts w:ascii="Times New Roman" w:eastAsia="Times New Roman" w:hAnsi="Times New Roman" w:cs="Times New Roman"/>
          <w:sz w:val="24"/>
          <w:szCs w:val="24"/>
          <w:vertAlign w:val="subscript"/>
        </w:rPr>
        <w:t>12</w:t>
      </w:r>
      <w:r w:rsidRPr="00E00194">
        <w:rPr>
          <w:rFonts w:ascii="Times New Roman" w:eastAsia="Times New Roman" w:hAnsi="Times New Roman" w:cs="Times New Roman"/>
          <w:sz w:val="24"/>
          <w:szCs w:val="24"/>
        </w:rPr>
        <w:t xml:space="preserve"> inhibition is similarly unknown. The major potential benefit of GPIIb/IIIa inhibitors over cangrelor is inhibition of aggregation induced by all agonists. The downside is a slower offset of pharmacodynamic effect and, as a downstream inhibitor, less effect on platelet activation. Short-term GPIIb/IIIa inhibitor therapy with agents that have a faster offset (low molecular weight GPIIb/IIIa inhibitors) coupled with radial artery intervention may significantly improve the safety profile of GPIIb/IIIa inhibitors and restore interest in their use in the complex, high-risk patient.</w:t>
      </w:r>
    </w:p>
    <w:p w14:paraId="41FFC6D1" w14:textId="77777777" w:rsidR="00E00194" w:rsidRPr="00E00194" w:rsidRDefault="00E00194" w:rsidP="00E00194">
      <w:p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b/>
          <w:bCs/>
          <w:sz w:val="24"/>
          <w:szCs w:val="24"/>
        </w:rPr>
        <w:t>References</w:t>
      </w:r>
    </w:p>
    <w:p w14:paraId="0C7B2695" w14:textId="77777777" w:rsidR="00E00194" w:rsidRPr="00E00194" w:rsidRDefault="00E00194" w:rsidP="00E0019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 xml:space="preserve">Gurbel PA, Tantry US. Combination antithrombotic therapies. </w:t>
      </w:r>
      <w:r w:rsidRPr="00E00194">
        <w:rPr>
          <w:rFonts w:ascii="Times New Roman" w:eastAsia="Times New Roman" w:hAnsi="Times New Roman" w:cs="Times New Roman"/>
          <w:i/>
          <w:iCs/>
          <w:sz w:val="24"/>
          <w:szCs w:val="24"/>
        </w:rPr>
        <w:t>Circulation</w:t>
      </w:r>
      <w:r w:rsidRPr="00E00194">
        <w:rPr>
          <w:rFonts w:ascii="Times New Roman" w:eastAsia="Times New Roman" w:hAnsi="Times New Roman" w:cs="Times New Roman"/>
          <w:sz w:val="24"/>
          <w:szCs w:val="24"/>
        </w:rPr>
        <w:t xml:space="preserve"> 2010;121:569-83.</w:t>
      </w:r>
    </w:p>
    <w:p w14:paraId="6B83CFC2" w14:textId="77777777" w:rsidR="00E00194" w:rsidRPr="00E00194" w:rsidRDefault="00E00194" w:rsidP="00E0019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 xml:space="preserve">Tantry US, Bonello L, Aradi D, et al. Consensus and update on the definition of on-treatment platelet reactivity to adenosine diphosphate associated with ischemia and bleeding. </w:t>
      </w:r>
      <w:r w:rsidRPr="00E00194">
        <w:rPr>
          <w:rFonts w:ascii="Times New Roman" w:eastAsia="Times New Roman" w:hAnsi="Times New Roman" w:cs="Times New Roman"/>
          <w:i/>
          <w:iCs/>
          <w:sz w:val="24"/>
          <w:szCs w:val="24"/>
        </w:rPr>
        <w:t xml:space="preserve">J Am Coll Cardiol </w:t>
      </w:r>
      <w:r w:rsidRPr="00E00194">
        <w:rPr>
          <w:rFonts w:ascii="Times New Roman" w:eastAsia="Times New Roman" w:hAnsi="Times New Roman" w:cs="Times New Roman"/>
          <w:sz w:val="24"/>
          <w:szCs w:val="24"/>
        </w:rPr>
        <w:t>2013;62:2261-73.</w:t>
      </w:r>
    </w:p>
    <w:p w14:paraId="3AC63712" w14:textId="77777777" w:rsidR="00E00194" w:rsidRPr="00E00194" w:rsidRDefault="00E00194" w:rsidP="00E0019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 xml:space="preserve">Curzen N, Gurbel PA, Myat A, Bhatt DL, Redwood SR. What is the optimum adjunctive reperfusion strategy for primary percutaneous coronary intervention? </w:t>
      </w:r>
      <w:r w:rsidRPr="00E00194">
        <w:rPr>
          <w:rFonts w:ascii="Times New Roman" w:eastAsia="Times New Roman" w:hAnsi="Times New Roman" w:cs="Times New Roman"/>
          <w:i/>
          <w:iCs/>
          <w:sz w:val="24"/>
          <w:szCs w:val="24"/>
        </w:rPr>
        <w:t>Lancet</w:t>
      </w:r>
      <w:r w:rsidRPr="00E00194">
        <w:rPr>
          <w:rFonts w:ascii="Times New Roman" w:eastAsia="Times New Roman" w:hAnsi="Times New Roman" w:cs="Times New Roman"/>
          <w:sz w:val="24"/>
          <w:szCs w:val="24"/>
        </w:rPr>
        <w:t xml:space="preserve"> 2013;382:633-43.</w:t>
      </w:r>
    </w:p>
    <w:p w14:paraId="613B6F1A" w14:textId="77777777" w:rsidR="00E00194" w:rsidRPr="00E00194" w:rsidRDefault="00E00194" w:rsidP="00E0019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Amsterdam EA, Wenger NK, Brindis RG, et al. 2014 AHA/ACC Guideline for the Management of Patients with Non-ST-Elevation Acute Coronary Syndromes: a report of the American College of Cardiology/American Heart Association Task Force on Practice Guidelines.</w:t>
      </w:r>
      <w:r w:rsidRPr="00E00194">
        <w:rPr>
          <w:rFonts w:ascii="Times New Roman" w:eastAsia="Times New Roman" w:hAnsi="Times New Roman" w:cs="Times New Roman"/>
          <w:i/>
          <w:iCs/>
          <w:sz w:val="24"/>
          <w:szCs w:val="24"/>
        </w:rPr>
        <w:t xml:space="preserve"> J Am Coll Cardiol</w:t>
      </w:r>
      <w:r w:rsidRPr="00E00194">
        <w:rPr>
          <w:rFonts w:ascii="Times New Roman" w:eastAsia="Times New Roman" w:hAnsi="Times New Roman" w:cs="Times New Roman"/>
          <w:sz w:val="24"/>
          <w:szCs w:val="24"/>
        </w:rPr>
        <w:t xml:space="preserve"> 2014;64:e139-e228.</w:t>
      </w:r>
    </w:p>
    <w:p w14:paraId="40220FD0" w14:textId="77777777" w:rsidR="00E00194" w:rsidRPr="00E00194" w:rsidRDefault="00E00194" w:rsidP="00E0019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 xml:space="preserve">O'Gara PT, Kushner FG, Ascheim DD, et al. 2013 ACCF/AHA guideline for the management of ST-elevation myocardial infarction: a report of the American College of Cardiology Foundation/American Heart Association Task Force on Practice Guidelines. </w:t>
      </w:r>
      <w:r w:rsidRPr="00E00194">
        <w:rPr>
          <w:rFonts w:ascii="Times New Roman" w:eastAsia="Times New Roman" w:hAnsi="Times New Roman" w:cs="Times New Roman"/>
          <w:i/>
          <w:iCs/>
          <w:sz w:val="24"/>
          <w:szCs w:val="24"/>
        </w:rPr>
        <w:t>J Am Coll Cardiol</w:t>
      </w:r>
      <w:r w:rsidRPr="00E00194">
        <w:rPr>
          <w:rFonts w:ascii="Times New Roman" w:eastAsia="Times New Roman" w:hAnsi="Times New Roman" w:cs="Times New Roman"/>
          <w:sz w:val="24"/>
          <w:szCs w:val="24"/>
        </w:rPr>
        <w:t xml:space="preserve"> 2013;61:e78-140.</w:t>
      </w:r>
    </w:p>
    <w:p w14:paraId="75C57075" w14:textId="77777777" w:rsidR="00E00194" w:rsidRPr="00E00194" w:rsidRDefault="00E00194" w:rsidP="00E0019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 xml:space="preserve">Bhatt DL, Stone GW, Mahaffey KW, et al. Effect of platelet inhibition with cangrelor during PCI on ischemic events. </w:t>
      </w:r>
      <w:r w:rsidRPr="00E00194">
        <w:rPr>
          <w:rFonts w:ascii="Times New Roman" w:eastAsia="Times New Roman" w:hAnsi="Times New Roman" w:cs="Times New Roman"/>
          <w:i/>
          <w:iCs/>
          <w:sz w:val="24"/>
          <w:szCs w:val="24"/>
        </w:rPr>
        <w:t>N Engl J Med</w:t>
      </w:r>
      <w:r w:rsidRPr="00E00194">
        <w:rPr>
          <w:rFonts w:ascii="Times New Roman" w:eastAsia="Times New Roman" w:hAnsi="Times New Roman" w:cs="Times New Roman"/>
          <w:sz w:val="24"/>
          <w:szCs w:val="24"/>
        </w:rPr>
        <w:t xml:space="preserve"> 2013;368:1303-13.</w:t>
      </w:r>
    </w:p>
    <w:p w14:paraId="327826CD" w14:textId="77777777" w:rsidR="00E00194" w:rsidRPr="00E00194" w:rsidRDefault="00E00194" w:rsidP="00E0019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 xml:space="preserve">Kubica J, Kozinski M, Navarese EP, et al. Cangrelor: an emerging therapeutic option for patients with coronary artery disease. </w:t>
      </w:r>
      <w:r w:rsidRPr="00E00194">
        <w:rPr>
          <w:rFonts w:ascii="Times New Roman" w:eastAsia="Times New Roman" w:hAnsi="Times New Roman" w:cs="Times New Roman"/>
          <w:i/>
          <w:iCs/>
          <w:sz w:val="24"/>
          <w:szCs w:val="24"/>
        </w:rPr>
        <w:t>Curr Med Res Opin</w:t>
      </w:r>
      <w:r w:rsidRPr="00E00194">
        <w:rPr>
          <w:rFonts w:ascii="Times New Roman" w:eastAsia="Times New Roman" w:hAnsi="Times New Roman" w:cs="Times New Roman"/>
          <w:sz w:val="24"/>
          <w:szCs w:val="24"/>
        </w:rPr>
        <w:t xml:space="preserve"> 2014;30:813-28.</w:t>
      </w:r>
    </w:p>
    <w:p w14:paraId="46754856" w14:textId="77777777" w:rsidR="00E00194" w:rsidRPr="00E00194" w:rsidRDefault="00E00194" w:rsidP="00E0019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Akers WS, Oh JJ, Oestreich JH, Ferraris S, Wethington M, Steinhubl SR. Pharmacokinetics and pharmacodynamics of a bolus and infusion of cangrelor: a direct, parenteral P2Y</w:t>
      </w:r>
      <w:r w:rsidRPr="00E00194">
        <w:rPr>
          <w:rFonts w:ascii="Times New Roman" w:eastAsia="Times New Roman" w:hAnsi="Times New Roman" w:cs="Times New Roman"/>
          <w:sz w:val="24"/>
          <w:szCs w:val="24"/>
          <w:vertAlign w:val="subscript"/>
        </w:rPr>
        <w:t>12</w:t>
      </w:r>
      <w:r w:rsidRPr="00E00194">
        <w:rPr>
          <w:rFonts w:ascii="Times New Roman" w:eastAsia="Times New Roman" w:hAnsi="Times New Roman" w:cs="Times New Roman"/>
          <w:sz w:val="24"/>
          <w:szCs w:val="24"/>
        </w:rPr>
        <w:t xml:space="preserve"> receptor antagonist. </w:t>
      </w:r>
      <w:r w:rsidRPr="00E00194">
        <w:rPr>
          <w:rFonts w:ascii="Times New Roman" w:eastAsia="Times New Roman" w:hAnsi="Times New Roman" w:cs="Times New Roman"/>
          <w:i/>
          <w:iCs/>
          <w:sz w:val="24"/>
          <w:szCs w:val="24"/>
        </w:rPr>
        <w:t>J Clin Pharmacol</w:t>
      </w:r>
      <w:r w:rsidRPr="00E00194">
        <w:rPr>
          <w:rFonts w:ascii="Times New Roman" w:eastAsia="Times New Roman" w:hAnsi="Times New Roman" w:cs="Times New Roman"/>
          <w:sz w:val="24"/>
          <w:szCs w:val="24"/>
        </w:rPr>
        <w:t xml:space="preserve"> 2010;50:27-35.</w:t>
      </w:r>
    </w:p>
    <w:p w14:paraId="1C64D81F" w14:textId="77777777" w:rsidR="00E00194" w:rsidRPr="00E00194" w:rsidRDefault="00E00194" w:rsidP="00E0019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 xml:space="preserve">KENGREAL: Highlights of Prescribing Information (US Food &amp; Drug Administration website). 2015. Available at: </w:t>
      </w:r>
      <w:hyperlink r:id="rId10" w:tgtFrame="_blank" w:history="1">
        <w:r w:rsidRPr="00E00194">
          <w:rPr>
            <w:rFonts w:ascii="Times New Roman" w:eastAsia="Times New Roman" w:hAnsi="Times New Roman" w:cs="Times New Roman"/>
            <w:i/>
            <w:iCs/>
            <w:color w:val="0000FF"/>
            <w:sz w:val="24"/>
            <w:szCs w:val="24"/>
            <w:u w:val="single"/>
          </w:rPr>
          <w:t>https://www.accessdata.fda.gov/drugsatfda_docs/label/2015/204958lbl.pdf</w:t>
        </w:r>
      </w:hyperlink>
      <w:r w:rsidRPr="00E00194">
        <w:rPr>
          <w:rFonts w:ascii="Times New Roman" w:eastAsia="Times New Roman" w:hAnsi="Times New Roman" w:cs="Times New Roman"/>
          <w:sz w:val="24"/>
          <w:szCs w:val="24"/>
        </w:rPr>
        <w:t>. Accessed 12/08/2017.</w:t>
      </w:r>
    </w:p>
    <w:p w14:paraId="63C3DEAC" w14:textId="77777777" w:rsidR="00E00194" w:rsidRPr="00E00194" w:rsidRDefault="00E00194" w:rsidP="00E0019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 xml:space="preserve">Harrington RA, Stone GW, McNulty S, et al. Platelet inhibition with cangrelor in patients undergoing PCI. </w:t>
      </w:r>
      <w:r w:rsidRPr="00E00194">
        <w:rPr>
          <w:rFonts w:ascii="Times New Roman" w:eastAsia="Times New Roman" w:hAnsi="Times New Roman" w:cs="Times New Roman"/>
          <w:i/>
          <w:iCs/>
          <w:sz w:val="24"/>
          <w:szCs w:val="24"/>
        </w:rPr>
        <w:t>N Engl J Med</w:t>
      </w:r>
      <w:r w:rsidRPr="00E00194">
        <w:rPr>
          <w:rFonts w:ascii="Times New Roman" w:eastAsia="Times New Roman" w:hAnsi="Times New Roman" w:cs="Times New Roman"/>
          <w:sz w:val="24"/>
          <w:szCs w:val="24"/>
        </w:rPr>
        <w:t xml:space="preserve"> 2009;361:2318-29.</w:t>
      </w:r>
    </w:p>
    <w:p w14:paraId="6C425C46" w14:textId="77777777" w:rsidR="00E00194" w:rsidRPr="00E00194" w:rsidRDefault="00E00194" w:rsidP="00E0019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lastRenderedPageBreak/>
        <w:t xml:space="preserve">Bhatt DL, Lincoff AM, Gibson CM, et al. Intravenous platelet blockade with cangrelor during PCI. </w:t>
      </w:r>
      <w:r w:rsidRPr="00E00194">
        <w:rPr>
          <w:rFonts w:ascii="Times New Roman" w:eastAsia="Times New Roman" w:hAnsi="Times New Roman" w:cs="Times New Roman"/>
          <w:i/>
          <w:iCs/>
          <w:sz w:val="24"/>
          <w:szCs w:val="24"/>
        </w:rPr>
        <w:t>N Engl J Med</w:t>
      </w:r>
      <w:r w:rsidRPr="00E00194">
        <w:rPr>
          <w:rFonts w:ascii="Times New Roman" w:eastAsia="Times New Roman" w:hAnsi="Times New Roman" w:cs="Times New Roman"/>
          <w:sz w:val="24"/>
          <w:szCs w:val="24"/>
        </w:rPr>
        <w:t xml:space="preserve"> 2009;361:2330-41.</w:t>
      </w:r>
    </w:p>
    <w:p w14:paraId="48DAE9EE" w14:textId="77777777" w:rsidR="00E00194" w:rsidRPr="00E00194" w:rsidRDefault="00E00194" w:rsidP="00E0019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 xml:space="preserve">White HD, Chew DP, Dauerman HL, et al. Reduced immediate ischemic events with cangrelor in PCI: a pooled analysis of the CHAMPION trials using the universal definition of myocardial infarction. </w:t>
      </w:r>
      <w:r w:rsidRPr="00E00194">
        <w:rPr>
          <w:rFonts w:ascii="Times New Roman" w:eastAsia="Times New Roman" w:hAnsi="Times New Roman" w:cs="Times New Roman"/>
          <w:i/>
          <w:iCs/>
          <w:sz w:val="24"/>
          <w:szCs w:val="24"/>
        </w:rPr>
        <w:t>Am Heart J</w:t>
      </w:r>
      <w:r w:rsidRPr="00E00194">
        <w:rPr>
          <w:rFonts w:ascii="Times New Roman" w:eastAsia="Times New Roman" w:hAnsi="Times New Roman" w:cs="Times New Roman"/>
          <w:sz w:val="24"/>
          <w:szCs w:val="24"/>
        </w:rPr>
        <w:t xml:space="preserve"> 2012;163:182-90.e4.</w:t>
      </w:r>
    </w:p>
    <w:p w14:paraId="114D3D16" w14:textId="77777777" w:rsidR="00E00194" w:rsidRPr="00E00194" w:rsidRDefault="00E00194" w:rsidP="00E0019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 xml:space="preserve">Leonardi S, Truffa AA, Neely ML, et al. A novel approach to systematically implement the universal definition of myocardial infarction: insights from the CHAMPION PLATFORM trial. </w:t>
      </w:r>
      <w:r w:rsidRPr="00E00194">
        <w:rPr>
          <w:rFonts w:ascii="Times New Roman" w:eastAsia="Times New Roman" w:hAnsi="Times New Roman" w:cs="Times New Roman"/>
          <w:i/>
          <w:iCs/>
          <w:sz w:val="24"/>
          <w:szCs w:val="24"/>
        </w:rPr>
        <w:t>Heart</w:t>
      </w:r>
      <w:r w:rsidRPr="00E00194">
        <w:rPr>
          <w:rFonts w:ascii="Times New Roman" w:eastAsia="Times New Roman" w:hAnsi="Times New Roman" w:cs="Times New Roman"/>
          <w:sz w:val="24"/>
          <w:szCs w:val="24"/>
        </w:rPr>
        <w:t xml:space="preserve"> 2013;99:1282-7.</w:t>
      </w:r>
    </w:p>
    <w:p w14:paraId="5B2D1E80" w14:textId="77777777" w:rsidR="00E00194" w:rsidRPr="00E00194" w:rsidRDefault="00E00194" w:rsidP="00E0019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 xml:space="preserve">White HD, Bhatt DL, Gibson CM, et al. Outcomes with cangrelor versus clopidogrel on a background of bivalirudin: insights from the CHAMPION PHOENIX (A Clinical Trial Comparing Cangrelor to Clopidogrel Standard Therapy in Subjects Who Require Percutaneous Coronary Intervention [PCI]). </w:t>
      </w:r>
      <w:r w:rsidRPr="00E00194">
        <w:rPr>
          <w:rFonts w:ascii="Times New Roman" w:eastAsia="Times New Roman" w:hAnsi="Times New Roman" w:cs="Times New Roman"/>
          <w:i/>
          <w:iCs/>
          <w:sz w:val="24"/>
          <w:szCs w:val="24"/>
        </w:rPr>
        <w:t>JACC Cardiovasc Interv</w:t>
      </w:r>
      <w:r w:rsidRPr="00E00194">
        <w:rPr>
          <w:rFonts w:ascii="Times New Roman" w:eastAsia="Times New Roman" w:hAnsi="Times New Roman" w:cs="Times New Roman"/>
          <w:sz w:val="24"/>
          <w:szCs w:val="24"/>
        </w:rPr>
        <w:t xml:space="preserve"> 2015;8:424-33.</w:t>
      </w:r>
    </w:p>
    <w:p w14:paraId="6CF80677" w14:textId="77777777" w:rsidR="00E00194" w:rsidRPr="00E00194" w:rsidRDefault="00E00194" w:rsidP="00E0019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 xml:space="preserve">Damman P, Wallentin L, Fox KA, et al. Long-term cardiovascular mortality after procedure-related or spontaneous myocardial infarction in patients with non-ST-segment elevation acute coronary syndrome: a collaborative analysis of individual patient data from the FRISC II, ICTUS, and RITA-3 trials (FIR). </w:t>
      </w:r>
      <w:r w:rsidRPr="00E00194">
        <w:rPr>
          <w:rFonts w:ascii="Times New Roman" w:eastAsia="Times New Roman" w:hAnsi="Times New Roman" w:cs="Times New Roman"/>
          <w:i/>
          <w:iCs/>
          <w:sz w:val="24"/>
          <w:szCs w:val="24"/>
        </w:rPr>
        <w:t>Circulation</w:t>
      </w:r>
      <w:r w:rsidRPr="00E00194">
        <w:rPr>
          <w:rFonts w:ascii="Times New Roman" w:eastAsia="Times New Roman" w:hAnsi="Times New Roman" w:cs="Times New Roman"/>
          <w:sz w:val="24"/>
          <w:szCs w:val="24"/>
        </w:rPr>
        <w:t xml:space="preserve"> 2012;125:568-76.</w:t>
      </w:r>
    </w:p>
    <w:p w14:paraId="021CE7A3" w14:textId="77777777" w:rsidR="00E00194" w:rsidRPr="00E00194" w:rsidRDefault="00E00194" w:rsidP="00E0019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 xml:space="preserve">Prasad A, Gersh BJ, Bertrand ME, et al. Prognostic significance of periprocedural versus spontaneously occurring myocardial infarction after percutaneous coronary intervention in patients with acute coronary syndromes: an analysis from the ACUITY (Acute Catheterization and Urgent Intervention Triage Strategy) trial. </w:t>
      </w:r>
      <w:r w:rsidRPr="00E00194">
        <w:rPr>
          <w:rFonts w:ascii="Times New Roman" w:eastAsia="Times New Roman" w:hAnsi="Times New Roman" w:cs="Times New Roman"/>
          <w:i/>
          <w:iCs/>
          <w:sz w:val="24"/>
          <w:szCs w:val="24"/>
        </w:rPr>
        <w:t>J Am Coll Cardiol</w:t>
      </w:r>
      <w:r w:rsidRPr="00E00194">
        <w:rPr>
          <w:rFonts w:ascii="Times New Roman" w:eastAsia="Times New Roman" w:hAnsi="Times New Roman" w:cs="Times New Roman"/>
          <w:sz w:val="24"/>
          <w:szCs w:val="24"/>
        </w:rPr>
        <w:t xml:space="preserve"> 2009;54:477-86.</w:t>
      </w:r>
    </w:p>
    <w:p w14:paraId="29EF1AFA" w14:textId="77777777" w:rsidR="00E00194" w:rsidRPr="00E00194" w:rsidRDefault="00E00194" w:rsidP="00E0019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 xml:space="preserve">Moussa ID, Klein LW, Shah B, et al. Consideration of a new definition of clinically relevant myocardial infarction after coronary revascularization: an expert consensus document from the Society for Cardiovascular Angiography and Interventions (SCAI). </w:t>
      </w:r>
      <w:r w:rsidRPr="00E00194">
        <w:rPr>
          <w:rFonts w:ascii="Times New Roman" w:eastAsia="Times New Roman" w:hAnsi="Times New Roman" w:cs="Times New Roman"/>
          <w:i/>
          <w:iCs/>
          <w:sz w:val="24"/>
          <w:szCs w:val="24"/>
        </w:rPr>
        <w:t>Catheter Cardiovasc Interv</w:t>
      </w:r>
      <w:r w:rsidRPr="00E00194">
        <w:rPr>
          <w:rFonts w:ascii="Times New Roman" w:eastAsia="Times New Roman" w:hAnsi="Times New Roman" w:cs="Times New Roman"/>
          <w:sz w:val="24"/>
          <w:szCs w:val="24"/>
        </w:rPr>
        <w:t xml:space="preserve"> 2014;83:27-36.</w:t>
      </w:r>
    </w:p>
    <w:p w14:paraId="54EABC97" w14:textId="77777777" w:rsidR="00E00194" w:rsidRPr="00E00194" w:rsidRDefault="00E00194" w:rsidP="00E0019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 xml:space="preserve">Steg PG, Bhatt DL, Hamm CW, et al. Effect of cangrelor on periprocedural outcomes in percutaneous coronary interventions: a pooled analysis of patient-level data. </w:t>
      </w:r>
      <w:r w:rsidRPr="00E00194">
        <w:rPr>
          <w:rFonts w:ascii="Times New Roman" w:eastAsia="Times New Roman" w:hAnsi="Times New Roman" w:cs="Times New Roman"/>
          <w:i/>
          <w:iCs/>
          <w:sz w:val="24"/>
          <w:szCs w:val="24"/>
        </w:rPr>
        <w:t>Lancet</w:t>
      </w:r>
      <w:r w:rsidRPr="00E00194">
        <w:rPr>
          <w:rFonts w:ascii="Times New Roman" w:eastAsia="Times New Roman" w:hAnsi="Times New Roman" w:cs="Times New Roman"/>
          <w:sz w:val="24"/>
          <w:szCs w:val="24"/>
        </w:rPr>
        <w:t xml:space="preserve"> 2013;382:1981-92.</w:t>
      </w:r>
    </w:p>
    <w:p w14:paraId="4C51E08B" w14:textId="77777777" w:rsidR="00E00194" w:rsidRPr="00E00194" w:rsidRDefault="00E00194" w:rsidP="00E0019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 xml:space="preserve">Angiolillo DJ, Firstenberg MS, Price MJ, et al. Bridging antiplatelet therapy with cangrelor in patients undergoing cardiac surgery: a randomized controlled trial. </w:t>
      </w:r>
      <w:r w:rsidRPr="00E00194">
        <w:rPr>
          <w:rFonts w:ascii="Times New Roman" w:eastAsia="Times New Roman" w:hAnsi="Times New Roman" w:cs="Times New Roman"/>
          <w:i/>
          <w:iCs/>
          <w:sz w:val="24"/>
          <w:szCs w:val="24"/>
        </w:rPr>
        <w:t>JAMA</w:t>
      </w:r>
      <w:r w:rsidRPr="00E00194">
        <w:rPr>
          <w:rFonts w:ascii="Times New Roman" w:eastAsia="Times New Roman" w:hAnsi="Times New Roman" w:cs="Times New Roman"/>
          <w:sz w:val="24"/>
          <w:szCs w:val="24"/>
        </w:rPr>
        <w:t xml:space="preserve"> 2012;307:265-74.</w:t>
      </w:r>
    </w:p>
    <w:p w14:paraId="7C201FB7" w14:textId="77777777" w:rsidR="00E00194" w:rsidRPr="00E00194" w:rsidRDefault="00E00194" w:rsidP="00E0019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 xml:space="preserve">Dovlatova NL, Jakubowski JA, Sugidachi A, Heptinstall S. The reversible P2Y antagonist cangrelor influences the ability of the active metabolites of clopidogrel and prasugrel to produce irreversible inhibition of platelet function. </w:t>
      </w:r>
      <w:r w:rsidRPr="00E00194">
        <w:rPr>
          <w:rFonts w:ascii="Times New Roman" w:eastAsia="Times New Roman" w:hAnsi="Times New Roman" w:cs="Times New Roman"/>
          <w:i/>
          <w:iCs/>
          <w:sz w:val="24"/>
          <w:szCs w:val="24"/>
        </w:rPr>
        <w:t>J Thromb Haemost</w:t>
      </w:r>
      <w:r w:rsidRPr="00E00194">
        <w:rPr>
          <w:rFonts w:ascii="Times New Roman" w:eastAsia="Times New Roman" w:hAnsi="Times New Roman" w:cs="Times New Roman"/>
          <w:sz w:val="24"/>
          <w:szCs w:val="24"/>
        </w:rPr>
        <w:t xml:space="preserve"> 2008;6:1153-9.</w:t>
      </w:r>
    </w:p>
    <w:p w14:paraId="776DACE8" w14:textId="77777777" w:rsidR="00E00194" w:rsidRPr="00E00194" w:rsidRDefault="00E00194" w:rsidP="00E0019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 xml:space="preserve">Steinhubl SR, Oh JJ, Oestreich JH, Ferraris S, Charnigo R, Akers WS. Transitioning patients from cangrelor to clopidogrel: pharmacodynamic evidence of a competitive effect. </w:t>
      </w:r>
      <w:r w:rsidRPr="00E00194">
        <w:rPr>
          <w:rFonts w:ascii="Times New Roman" w:eastAsia="Times New Roman" w:hAnsi="Times New Roman" w:cs="Times New Roman"/>
          <w:i/>
          <w:iCs/>
          <w:sz w:val="24"/>
          <w:szCs w:val="24"/>
        </w:rPr>
        <w:t>Thromb Res</w:t>
      </w:r>
      <w:r w:rsidRPr="00E00194">
        <w:rPr>
          <w:rFonts w:ascii="Times New Roman" w:eastAsia="Times New Roman" w:hAnsi="Times New Roman" w:cs="Times New Roman"/>
          <w:sz w:val="24"/>
          <w:szCs w:val="24"/>
        </w:rPr>
        <w:t xml:space="preserve"> 2008;121:527-34.</w:t>
      </w:r>
    </w:p>
    <w:p w14:paraId="458F432E" w14:textId="77777777" w:rsidR="00E00194" w:rsidRPr="00E00194" w:rsidRDefault="00E00194" w:rsidP="00E0019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Angiolillo DJ, Rollini F, Storey RF, et al. International Expert Consensus on Switching Platelet P2Y</w:t>
      </w:r>
      <w:r w:rsidRPr="00E00194">
        <w:rPr>
          <w:rFonts w:ascii="Times New Roman" w:eastAsia="Times New Roman" w:hAnsi="Times New Roman" w:cs="Times New Roman"/>
          <w:sz w:val="24"/>
          <w:szCs w:val="24"/>
          <w:vertAlign w:val="subscript"/>
        </w:rPr>
        <w:t>12</w:t>
      </w:r>
      <w:r w:rsidRPr="00E00194">
        <w:rPr>
          <w:rFonts w:ascii="Times New Roman" w:eastAsia="Times New Roman" w:hAnsi="Times New Roman" w:cs="Times New Roman"/>
          <w:sz w:val="24"/>
          <w:szCs w:val="24"/>
        </w:rPr>
        <w:t xml:space="preserve"> Receptor-Inhibiting Therapies. </w:t>
      </w:r>
      <w:r w:rsidRPr="00E00194">
        <w:rPr>
          <w:rFonts w:ascii="Times New Roman" w:eastAsia="Times New Roman" w:hAnsi="Times New Roman" w:cs="Times New Roman"/>
          <w:i/>
          <w:iCs/>
          <w:sz w:val="24"/>
          <w:szCs w:val="24"/>
        </w:rPr>
        <w:t>Circulation</w:t>
      </w:r>
      <w:r w:rsidRPr="00E00194">
        <w:rPr>
          <w:rFonts w:ascii="Times New Roman" w:eastAsia="Times New Roman" w:hAnsi="Times New Roman" w:cs="Times New Roman"/>
          <w:sz w:val="24"/>
          <w:szCs w:val="24"/>
        </w:rPr>
        <w:t xml:space="preserve"> 2017;136:1955-75.</w:t>
      </w:r>
    </w:p>
    <w:p w14:paraId="24112224" w14:textId="77777777" w:rsidR="00E00194" w:rsidRPr="00E00194" w:rsidRDefault="00E00194" w:rsidP="00E0019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 xml:space="preserve">Gorjup V, Radsel P, Kocjancic ST, Erzen D, Noc M. Acute ST-elevation myocardial infarction after successful cardiopulmonary resuscitation. </w:t>
      </w:r>
      <w:r w:rsidRPr="00E00194">
        <w:rPr>
          <w:rFonts w:ascii="Times New Roman" w:eastAsia="Times New Roman" w:hAnsi="Times New Roman" w:cs="Times New Roman"/>
          <w:i/>
          <w:iCs/>
          <w:sz w:val="24"/>
          <w:szCs w:val="24"/>
        </w:rPr>
        <w:t>Resuscitation</w:t>
      </w:r>
      <w:r w:rsidRPr="00E00194">
        <w:rPr>
          <w:rFonts w:ascii="Times New Roman" w:eastAsia="Times New Roman" w:hAnsi="Times New Roman" w:cs="Times New Roman"/>
          <w:sz w:val="24"/>
          <w:szCs w:val="24"/>
        </w:rPr>
        <w:t xml:space="preserve"> 2007;72:379-85. </w:t>
      </w:r>
    </w:p>
    <w:p w14:paraId="40577E2B" w14:textId="77777777" w:rsidR="00E00194" w:rsidRPr="00E00194" w:rsidRDefault="00E00194" w:rsidP="00E0019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Alexopoulos D, Bhatt DL, Hamm CW, Steg PG, Stone GW. Early P2Y</w:t>
      </w:r>
      <w:r w:rsidRPr="00E00194">
        <w:rPr>
          <w:rFonts w:ascii="Times New Roman" w:eastAsia="Times New Roman" w:hAnsi="Times New Roman" w:cs="Times New Roman"/>
          <w:sz w:val="24"/>
          <w:szCs w:val="24"/>
          <w:vertAlign w:val="subscript"/>
        </w:rPr>
        <w:t>12</w:t>
      </w:r>
      <w:r w:rsidRPr="00E00194">
        <w:rPr>
          <w:rFonts w:ascii="Times New Roman" w:eastAsia="Times New Roman" w:hAnsi="Times New Roman" w:cs="Times New Roman"/>
          <w:sz w:val="24"/>
          <w:szCs w:val="24"/>
        </w:rPr>
        <w:t xml:space="preserve"> inhibition in ST-segment elevation myocardial infarction: Bridging the gap. </w:t>
      </w:r>
      <w:r w:rsidRPr="00E00194">
        <w:rPr>
          <w:rFonts w:ascii="Times New Roman" w:eastAsia="Times New Roman" w:hAnsi="Times New Roman" w:cs="Times New Roman"/>
          <w:i/>
          <w:iCs/>
          <w:sz w:val="24"/>
          <w:szCs w:val="24"/>
        </w:rPr>
        <w:t>Am Heart J</w:t>
      </w:r>
      <w:r w:rsidRPr="00E00194">
        <w:rPr>
          <w:rFonts w:ascii="Times New Roman" w:eastAsia="Times New Roman" w:hAnsi="Times New Roman" w:cs="Times New Roman"/>
          <w:sz w:val="24"/>
          <w:szCs w:val="24"/>
        </w:rPr>
        <w:t xml:space="preserve"> 2015;170:3-12.</w:t>
      </w:r>
    </w:p>
    <w:p w14:paraId="77900F36" w14:textId="77777777" w:rsidR="00E00194" w:rsidRPr="00E00194" w:rsidRDefault="00E00194" w:rsidP="00E0019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lastRenderedPageBreak/>
        <w:t xml:space="preserve">Abtan J, Steg PG, Stone GW, et al. Efficacy and Safety of Cangrelor in Preventing Periprocedural Complications in Patients With Stable Angina and Acute Coronary Syndromes Undergoing Percutaneous Coronary Intervention: The CHAMPION PHOENIX Trial. </w:t>
      </w:r>
      <w:r w:rsidRPr="00E00194">
        <w:rPr>
          <w:rFonts w:ascii="Times New Roman" w:eastAsia="Times New Roman" w:hAnsi="Times New Roman" w:cs="Times New Roman"/>
          <w:i/>
          <w:iCs/>
          <w:sz w:val="24"/>
          <w:szCs w:val="24"/>
        </w:rPr>
        <w:t>JACC Cardiovasc Interv</w:t>
      </w:r>
      <w:r w:rsidRPr="00E00194">
        <w:rPr>
          <w:rFonts w:ascii="Times New Roman" w:eastAsia="Times New Roman" w:hAnsi="Times New Roman" w:cs="Times New Roman"/>
          <w:sz w:val="24"/>
          <w:szCs w:val="24"/>
        </w:rPr>
        <w:t xml:space="preserve"> 2016;9:1905-13.</w:t>
      </w:r>
    </w:p>
    <w:p w14:paraId="6CA4716B" w14:textId="77777777" w:rsidR="00E00194" w:rsidRPr="00E00194" w:rsidRDefault="00E00194" w:rsidP="00E0019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 xml:space="preserve">Brilakis ES, Banerjee S, Berger PB. Perioperative management of patients with coronary stents. </w:t>
      </w:r>
      <w:r w:rsidRPr="00E00194">
        <w:rPr>
          <w:rFonts w:ascii="Times New Roman" w:eastAsia="Times New Roman" w:hAnsi="Times New Roman" w:cs="Times New Roman"/>
          <w:i/>
          <w:iCs/>
          <w:sz w:val="24"/>
          <w:szCs w:val="24"/>
        </w:rPr>
        <w:t>J Am Coll Cardiol</w:t>
      </w:r>
      <w:r w:rsidRPr="00E00194">
        <w:rPr>
          <w:rFonts w:ascii="Times New Roman" w:eastAsia="Times New Roman" w:hAnsi="Times New Roman" w:cs="Times New Roman"/>
          <w:sz w:val="24"/>
          <w:szCs w:val="24"/>
        </w:rPr>
        <w:t xml:space="preserve"> 2007;49:2145-50.</w:t>
      </w:r>
    </w:p>
    <w:p w14:paraId="7B9FF7CD" w14:textId="77777777" w:rsidR="00E00194" w:rsidRPr="00E00194" w:rsidRDefault="00E00194" w:rsidP="00E0019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 xml:space="preserve">Warshauer J, Patel VG, Christopoulos G, Kotsia AP, Banerjee S, Brilakis ES. Outcomes of preoperative bridging therapy for patients undergoing surgery after coronary stent implantation: a weighted meta-analysis of 280 patients from eight studies. </w:t>
      </w:r>
      <w:r w:rsidRPr="00E00194">
        <w:rPr>
          <w:rFonts w:ascii="Times New Roman" w:eastAsia="Times New Roman" w:hAnsi="Times New Roman" w:cs="Times New Roman"/>
          <w:i/>
          <w:iCs/>
          <w:sz w:val="24"/>
          <w:szCs w:val="24"/>
        </w:rPr>
        <w:t>Catheter Cardiovasc Interv</w:t>
      </w:r>
      <w:r w:rsidRPr="00E00194">
        <w:rPr>
          <w:rFonts w:ascii="Times New Roman" w:eastAsia="Times New Roman" w:hAnsi="Times New Roman" w:cs="Times New Roman"/>
          <w:sz w:val="24"/>
          <w:szCs w:val="24"/>
        </w:rPr>
        <w:t xml:space="preserve"> 2015;85:25-31.</w:t>
      </w:r>
    </w:p>
    <w:p w14:paraId="42F25CE6" w14:textId="77777777" w:rsidR="00E00194" w:rsidRPr="00E00194" w:rsidRDefault="00E00194" w:rsidP="00E0019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 xml:space="preserve">Barra ME, Fanikos J, Gerhard-Herman MD, Bhatt DL. Bridging Experience With Eptifibatide After Stent Implantation. </w:t>
      </w:r>
      <w:r w:rsidRPr="00E00194">
        <w:rPr>
          <w:rFonts w:ascii="Times New Roman" w:eastAsia="Times New Roman" w:hAnsi="Times New Roman" w:cs="Times New Roman"/>
          <w:i/>
          <w:iCs/>
          <w:sz w:val="24"/>
          <w:szCs w:val="24"/>
        </w:rPr>
        <w:t>Crit Pathw Cardiol</w:t>
      </w:r>
      <w:r w:rsidRPr="00E00194">
        <w:rPr>
          <w:rFonts w:ascii="Times New Roman" w:eastAsia="Times New Roman" w:hAnsi="Times New Roman" w:cs="Times New Roman"/>
          <w:sz w:val="24"/>
          <w:szCs w:val="24"/>
        </w:rPr>
        <w:t xml:space="preserve"> 2016;15:82-8.</w:t>
      </w:r>
    </w:p>
    <w:p w14:paraId="66E2ACE8" w14:textId="77777777" w:rsidR="00E00194" w:rsidRPr="00E00194" w:rsidRDefault="00E00194" w:rsidP="00E0019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 xml:space="preserve">Gurbel PA, Bliden KP, Zaman KA, Yoho JA, Hayes KM, Tantry US. Clopidogrel loading with eptifibatide to arrest the reactivity of platelets: results of the Clopidogrel Loading With Eptifibatide to Arrest the Reactivity of Platelets (CLEAR PLATELETS) study. </w:t>
      </w:r>
      <w:r w:rsidRPr="00E00194">
        <w:rPr>
          <w:rFonts w:ascii="Times New Roman" w:eastAsia="Times New Roman" w:hAnsi="Times New Roman" w:cs="Times New Roman"/>
          <w:i/>
          <w:iCs/>
          <w:sz w:val="24"/>
          <w:szCs w:val="24"/>
        </w:rPr>
        <w:t>Circulation</w:t>
      </w:r>
      <w:r w:rsidRPr="00E00194">
        <w:rPr>
          <w:rFonts w:ascii="Times New Roman" w:eastAsia="Times New Roman" w:hAnsi="Times New Roman" w:cs="Times New Roman"/>
          <w:sz w:val="24"/>
          <w:szCs w:val="24"/>
        </w:rPr>
        <w:t xml:space="preserve"> 2005;111:1153-9.</w:t>
      </w:r>
    </w:p>
    <w:p w14:paraId="211039D1" w14:textId="77777777" w:rsidR="00E00194" w:rsidRPr="00E00194" w:rsidRDefault="00E00194" w:rsidP="00E0019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 xml:space="preserve">Platelet Glycoprotein IIb/IIIa in Unstable Angina: Receptor Suppression Using Integrilin Therapy (PURSUIT) Trial Investigators. Inhibition of platelet glycoprotein IIb/IIIa with eptifibatide in patients with acute coronary syndromes. </w:t>
      </w:r>
      <w:r w:rsidRPr="00E00194">
        <w:rPr>
          <w:rFonts w:ascii="Times New Roman" w:eastAsia="Times New Roman" w:hAnsi="Times New Roman" w:cs="Times New Roman"/>
          <w:i/>
          <w:iCs/>
          <w:sz w:val="24"/>
          <w:szCs w:val="24"/>
        </w:rPr>
        <w:t xml:space="preserve">N Engl J Med </w:t>
      </w:r>
      <w:r w:rsidRPr="00E00194">
        <w:rPr>
          <w:rFonts w:ascii="Times New Roman" w:eastAsia="Times New Roman" w:hAnsi="Times New Roman" w:cs="Times New Roman"/>
          <w:sz w:val="24"/>
          <w:szCs w:val="24"/>
        </w:rPr>
        <w:t>1998;339:436-43.</w:t>
      </w:r>
    </w:p>
    <w:p w14:paraId="0686D23C" w14:textId="77777777" w:rsidR="00E00194" w:rsidRPr="00E00194" w:rsidRDefault="00E00194" w:rsidP="00E0019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 xml:space="preserve">ESPRIT Investigators. Enhanced Suppression of the Platelet IIb/IIIa Receptor with Integrilin Therapy. Novel dosing regimen of eptifibatide in planned coronary stent implantation (ESPRIT): a randomised, placebo-controlled trial. </w:t>
      </w:r>
      <w:r w:rsidRPr="00E00194">
        <w:rPr>
          <w:rFonts w:ascii="Times New Roman" w:eastAsia="Times New Roman" w:hAnsi="Times New Roman" w:cs="Times New Roman"/>
          <w:i/>
          <w:iCs/>
          <w:sz w:val="24"/>
          <w:szCs w:val="24"/>
        </w:rPr>
        <w:t>Lancet</w:t>
      </w:r>
      <w:r w:rsidRPr="00E00194">
        <w:rPr>
          <w:rFonts w:ascii="Times New Roman" w:eastAsia="Times New Roman" w:hAnsi="Times New Roman" w:cs="Times New Roman"/>
          <w:sz w:val="24"/>
          <w:szCs w:val="24"/>
        </w:rPr>
        <w:t xml:space="preserve"> 2000;356:2037-44.</w:t>
      </w:r>
    </w:p>
    <w:p w14:paraId="7D3BE9F6" w14:textId="77777777" w:rsidR="00E00194" w:rsidRPr="00E00194" w:rsidRDefault="00E00194" w:rsidP="00E0019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 xml:space="preserve">Safley DM, Venkitachalam L, Kennedy KF, Cohen DJ. Impact of Glycoprotein IIb/IIIa Inhibition in Contemporary Percutaneous Coronary Intervention for Acute Coronary Syndromes: Insights From the National Cardiovascular Data Registry. </w:t>
      </w:r>
      <w:r w:rsidRPr="00E00194">
        <w:rPr>
          <w:rFonts w:ascii="Times New Roman" w:eastAsia="Times New Roman" w:hAnsi="Times New Roman" w:cs="Times New Roman"/>
          <w:i/>
          <w:iCs/>
          <w:sz w:val="24"/>
          <w:szCs w:val="24"/>
        </w:rPr>
        <w:t>JACC Cardiovasc Interv</w:t>
      </w:r>
      <w:r w:rsidRPr="00E00194">
        <w:rPr>
          <w:rFonts w:ascii="Times New Roman" w:eastAsia="Times New Roman" w:hAnsi="Times New Roman" w:cs="Times New Roman"/>
          <w:sz w:val="24"/>
          <w:szCs w:val="24"/>
        </w:rPr>
        <w:t xml:space="preserve"> 2015;8:1574-82.</w:t>
      </w:r>
    </w:p>
    <w:p w14:paraId="7E8B7BF9" w14:textId="77777777" w:rsidR="00E00194" w:rsidRPr="00E00194" w:rsidRDefault="00E00194" w:rsidP="00E0019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 xml:space="preserve">Vaduganathan M, Harrington RA, Stone GW, et al. Variation in Patient Profiles and Outcomes in US and Non-US Subgroups of the Cangrelor Versus Standard Therapy to Achieve Optimal Management of Platelet Inhibition (CHAMPION) PHOENIX Trial. </w:t>
      </w:r>
      <w:r w:rsidRPr="00E00194">
        <w:rPr>
          <w:rFonts w:ascii="Times New Roman" w:eastAsia="Times New Roman" w:hAnsi="Times New Roman" w:cs="Times New Roman"/>
          <w:i/>
          <w:iCs/>
          <w:sz w:val="24"/>
          <w:szCs w:val="24"/>
        </w:rPr>
        <w:t>Circ Cardiovasc Interv</w:t>
      </w:r>
      <w:r w:rsidRPr="00E00194">
        <w:rPr>
          <w:rFonts w:ascii="Times New Roman" w:eastAsia="Times New Roman" w:hAnsi="Times New Roman" w:cs="Times New Roman"/>
          <w:sz w:val="24"/>
          <w:szCs w:val="24"/>
        </w:rPr>
        <w:t xml:space="preserve"> 2016;9:e003612.</w:t>
      </w:r>
    </w:p>
    <w:p w14:paraId="481FF82B" w14:textId="77777777" w:rsidR="00E00194" w:rsidRPr="00E00194" w:rsidRDefault="00E00194" w:rsidP="00E0019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 xml:space="preserve">Muñiz-Lozano A, Rollini F, Franchi F, Angiolillo DJ. Update on platelet glycoprotein IIb/IIIa inhibitors: recommendations for clinical practice. </w:t>
      </w:r>
      <w:r w:rsidRPr="00E00194">
        <w:rPr>
          <w:rFonts w:ascii="Times New Roman" w:eastAsia="Times New Roman" w:hAnsi="Times New Roman" w:cs="Times New Roman"/>
          <w:i/>
          <w:iCs/>
          <w:sz w:val="24"/>
          <w:szCs w:val="24"/>
        </w:rPr>
        <w:t>Ther Adv Cardiovasc Dis</w:t>
      </w:r>
      <w:r w:rsidRPr="00E00194">
        <w:rPr>
          <w:rFonts w:ascii="Times New Roman" w:eastAsia="Times New Roman" w:hAnsi="Times New Roman" w:cs="Times New Roman"/>
          <w:sz w:val="24"/>
          <w:szCs w:val="24"/>
        </w:rPr>
        <w:t xml:space="preserve"> 2013;7:197-213.</w:t>
      </w:r>
    </w:p>
    <w:p w14:paraId="0D805514" w14:textId="77777777" w:rsidR="00E00194" w:rsidRPr="00E00194" w:rsidRDefault="00E00194" w:rsidP="00E0019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 xml:space="preserve">Sethi A, Bajaj A, Bahekar A, et al. Glycoprotein IIb/IIIa inhibitors with or without thienopyridine pretreatment improve outcomes after primary percutaneous coronary intervention in high-risk patients with ST elevation myocardial infarction--a meta-regression of randomized controlled trials. </w:t>
      </w:r>
      <w:r w:rsidRPr="00E00194">
        <w:rPr>
          <w:rFonts w:ascii="Times New Roman" w:eastAsia="Times New Roman" w:hAnsi="Times New Roman" w:cs="Times New Roman"/>
          <w:i/>
          <w:iCs/>
          <w:sz w:val="24"/>
          <w:szCs w:val="24"/>
        </w:rPr>
        <w:t>Catheter Cardiovasc Interv</w:t>
      </w:r>
      <w:r w:rsidRPr="00E00194">
        <w:rPr>
          <w:rFonts w:ascii="Times New Roman" w:eastAsia="Times New Roman" w:hAnsi="Times New Roman" w:cs="Times New Roman"/>
          <w:sz w:val="24"/>
          <w:szCs w:val="24"/>
        </w:rPr>
        <w:t xml:space="preserve"> 2013;82:171-81.</w:t>
      </w:r>
    </w:p>
    <w:p w14:paraId="0F4C905F" w14:textId="77777777" w:rsidR="00E00194" w:rsidRPr="00E00194" w:rsidRDefault="00E00194" w:rsidP="00E0019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 xml:space="preserve">Winchester DE, Wen X, Brearley WD, Park KE, Anderson RD, Bavry AA. Efficacy and safety of glycoprotein IIb/IIIa inhibitors during elective coronary revascularization: a meta-analysis of randomized trials performed in the era of stents and thienopyridines. </w:t>
      </w:r>
      <w:r w:rsidRPr="00E00194">
        <w:rPr>
          <w:rFonts w:ascii="Times New Roman" w:eastAsia="Times New Roman" w:hAnsi="Times New Roman" w:cs="Times New Roman"/>
          <w:i/>
          <w:iCs/>
          <w:sz w:val="24"/>
          <w:szCs w:val="24"/>
        </w:rPr>
        <w:t>J Am Coll Cardiol</w:t>
      </w:r>
      <w:r w:rsidRPr="00E00194">
        <w:rPr>
          <w:rFonts w:ascii="Times New Roman" w:eastAsia="Times New Roman" w:hAnsi="Times New Roman" w:cs="Times New Roman"/>
          <w:sz w:val="24"/>
          <w:szCs w:val="24"/>
        </w:rPr>
        <w:t xml:space="preserve"> 2011;57:1190-9.</w:t>
      </w:r>
    </w:p>
    <w:p w14:paraId="074B5785" w14:textId="77777777" w:rsidR="00E00194" w:rsidRPr="00E00194" w:rsidRDefault="00E00194" w:rsidP="00E0019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 xml:space="preserve">Gurbel PA, Tantry US. Delivery of glycoprotein IIb/IIIa inhibitor therapy for percutaneous coronary intervention: why not take the intracoronary highway? </w:t>
      </w:r>
      <w:r w:rsidRPr="00E00194">
        <w:rPr>
          <w:rFonts w:ascii="Times New Roman" w:eastAsia="Times New Roman" w:hAnsi="Times New Roman" w:cs="Times New Roman"/>
          <w:i/>
          <w:iCs/>
          <w:sz w:val="24"/>
          <w:szCs w:val="24"/>
        </w:rPr>
        <w:t>Circulation</w:t>
      </w:r>
      <w:r w:rsidRPr="00E00194">
        <w:rPr>
          <w:rFonts w:ascii="Times New Roman" w:eastAsia="Times New Roman" w:hAnsi="Times New Roman" w:cs="Times New Roman"/>
          <w:sz w:val="24"/>
          <w:szCs w:val="24"/>
        </w:rPr>
        <w:t xml:space="preserve"> 2010;121:739-41.</w:t>
      </w:r>
    </w:p>
    <w:p w14:paraId="706935F9" w14:textId="77777777" w:rsidR="00E00194" w:rsidRPr="00E00194" w:rsidRDefault="00E00194" w:rsidP="00E0019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lastRenderedPageBreak/>
        <w:t xml:space="preserve">Deibele AJ, Jennings LK, Tcheng JE, Neva C, Earhart AD, Gibson CM. Intracoronary eptifibatide bolus administration during percutaneous coronary revascularization for acute coronary syndromes with evaluation of platelet glycoprotein IIb/IIIa receptor occupancy and platelet function: the Intracoronary Eptifibatide (ICE) Trial. </w:t>
      </w:r>
      <w:r w:rsidRPr="00E00194">
        <w:rPr>
          <w:rFonts w:ascii="Times New Roman" w:eastAsia="Times New Roman" w:hAnsi="Times New Roman" w:cs="Times New Roman"/>
          <w:i/>
          <w:iCs/>
          <w:sz w:val="24"/>
          <w:szCs w:val="24"/>
        </w:rPr>
        <w:t>Circulation</w:t>
      </w:r>
      <w:r w:rsidRPr="00E00194">
        <w:rPr>
          <w:rFonts w:ascii="Times New Roman" w:eastAsia="Times New Roman" w:hAnsi="Times New Roman" w:cs="Times New Roman"/>
          <w:sz w:val="24"/>
          <w:szCs w:val="24"/>
        </w:rPr>
        <w:t xml:space="preserve"> 2010;121:784-91.</w:t>
      </w:r>
    </w:p>
    <w:p w14:paraId="0F487531" w14:textId="77777777" w:rsidR="00E00194" w:rsidRPr="00E00194" w:rsidRDefault="00E00194" w:rsidP="00E0019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 xml:space="preserve">Wilmer CI. Intracoronary high-dose bolus tirofiban administration during complex coronary interventions: A United States-based case series. </w:t>
      </w:r>
      <w:r w:rsidRPr="00E00194">
        <w:rPr>
          <w:rFonts w:ascii="Times New Roman" w:eastAsia="Times New Roman" w:hAnsi="Times New Roman" w:cs="Times New Roman"/>
          <w:i/>
          <w:iCs/>
          <w:sz w:val="24"/>
          <w:szCs w:val="24"/>
        </w:rPr>
        <w:t>Cardiovasc Revasc Med</w:t>
      </w:r>
      <w:r w:rsidRPr="00E00194">
        <w:rPr>
          <w:rFonts w:ascii="Times New Roman" w:eastAsia="Times New Roman" w:hAnsi="Times New Roman" w:cs="Times New Roman"/>
          <w:sz w:val="24"/>
          <w:szCs w:val="24"/>
        </w:rPr>
        <w:t xml:space="preserve"> 2017;Jun 22:[Epub ahead of print].</w:t>
      </w:r>
    </w:p>
    <w:p w14:paraId="69C48348" w14:textId="77777777" w:rsidR="00E00194" w:rsidRPr="00E00194" w:rsidRDefault="00E00194" w:rsidP="00E0019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 xml:space="preserve">Valgimigli M, Tebaldi M, Campo G, et al. Prasugrel versus tirofiban bolus with or without short post-bolus infusion with or without concomitant prasugrel administration in patients with myocardial infarction undergoing coronary stenting: the FABOLUS PRO (Facilitation through Aggrastat By drOpping or shortening Infusion Line in patients with ST-segment elevation myocardial infarction compared to or on top of PRasugrel given at loading dOse) trial. </w:t>
      </w:r>
      <w:r w:rsidRPr="00E00194">
        <w:rPr>
          <w:rFonts w:ascii="Times New Roman" w:eastAsia="Times New Roman" w:hAnsi="Times New Roman" w:cs="Times New Roman"/>
          <w:i/>
          <w:iCs/>
          <w:sz w:val="24"/>
          <w:szCs w:val="24"/>
        </w:rPr>
        <w:t xml:space="preserve">JACC Cardiovasc Interv </w:t>
      </w:r>
      <w:r w:rsidRPr="00E00194">
        <w:rPr>
          <w:rFonts w:ascii="Times New Roman" w:eastAsia="Times New Roman" w:hAnsi="Times New Roman" w:cs="Times New Roman"/>
          <w:sz w:val="24"/>
          <w:szCs w:val="24"/>
        </w:rPr>
        <w:t>2012;5:268-77.</w:t>
      </w:r>
    </w:p>
    <w:p w14:paraId="32ED60FC" w14:textId="77777777" w:rsidR="00E00194" w:rsidRPr="00E00194" w:rsidRDefault="00E00194" w:rsidP="00E0019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 xml:space="preserve">Stone GW, Maehara A, Witzenbichler B, et al. Intracoronary abciximab and aspiration thrombectomy in patients with large anterior myocardial infarction: the INFUSE-AMI randomized trial. </w:t>
      </w:r>
      <w:r w:rsidRPr="00E00194">
        <w:rPr>
          <w:rFonts w:ascii="Times New Roman" w:eastAsia="Times New Roman" w:hAnsi="Times New Roman" w:cs="Times New Roman"/>
          <w:i/>
          <w:iCs/>
          <w:sz w:val="24"/>
          <w:szCs w:val="24"/>
        </w:rPr>
        <w:t>JAMA</w:t>
      </w:r>
      <w:r w:rsidRPr="00E00194">
        <w:rPr>
          <w:rFonts w:ascii="Times New Roman" w:eastAsia="Times New Roman" w:hAnsi="Times New Roman" w:cs="Times New Roman"/>
          <w:sz w:val="24"/>
          <w:szCs w:val="24"/>
        </w:rPr>
        <w:t xml:space="preserve"> 2012;307:1817-26.</w:t>
      </w:r>
    </w:p>
    <w:p w14:paraId="57AE78BD" w14:textId="77777777" w:rsidR="00E00194" w:rsidRPr="00E00194" w:rsidRDefault="00E00194" w:rsidP="00E0019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 xml:space="preserve">Thiele H, Wöhrle J, Hambrecht R, et al. Intracoronary versus intravenous bolus abciximab during primary percutaneous coronary intervention in patients with acute ST-elevation myocardial infarction: a randomised trial. </w:t>
      </w:r>
      <w:r w:rsidRPr="00E00194">
        <w:rPr>
          <w:rFonts w:ascii="Times New Roman" w:eastAsia="Times New Roman" w:hAnsi="Times New Roman" w:cs="Times New Roman"/>
          <w:i/>
          <w:iCs/>
          <w:sz w:val="24"/>
          <w:szCs w:val="24"/>
        </w:rPr>
        <w:t>Lancet</w:t>
      </w:r>
      <w:r w:rsidRPr="00E00194">
        <w:rPr>
          <w:rFonts w:ascii="Times New Roman" w:eastAsia="Times New Roman" w:hAnsi="Times New Roman" w:cs="Times New Roman"/>
          <w:sz w:val="24"/>
          <w:szCs w:val="24"/>
        </w:rPr>
        <w:t xml:space="preserve"> 2012;379:923-31.</w:t>
      </w:r>
    </w:p>
    <w:p w14:paraId="5B5AD8A7" w14:textId="77777777" w:rsidR="00E00194" w:rsidRPr="00E00194" w:rsidRDefault="00E00194" w:rsidP="00E0019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Zaki T, Labib S, El-Abbady M, et al. Local Intracoronary Infusion of Glycoprotein IIb/IIIa Inhibitors via a Perfusion Catheter versus Intracoronary Guiding Catheter Injection during Primary Percutaneous Coronary Intervention: A Pilot Observational Study.</w:t>
      </w:r>
      <w:r w:rsidRPr="00E00194">
        <w:rPr>
          <w:rFonts w:ascii="Times New Roman" w:eastAsia="Times New Roman" w:hAnsi="Times New Roman" w:cs="Times New Roman"/>
          <w:i/>
          <w:iCs/>
          <w:sz w:val="24"/>
          <w:szCs w:val="24"/>
        </w:rPr>
        <w:t xml:space="preserve"> Acta Cardiol Sin</w:t>
      </w:r>
      <w:r w:rsidRPr="00E00194">
        <w:rPr>
          <w:rFonts w:ascii="Times New Roman" w:eastAsia="Times New Roman" w:hAnsi="Times New Roman" w:cs="Times New Roman"/>
          <w:sz w:val="24"/>
          <w:szCs w:val="24"/>
        </w:rPr>
        <w:t xml:space="preserve"> 2017;33:258-65.</w:t>
      </w:r>
    </w:p>
    <w:p w14:paraId="47367162" w14:textId="77777777" w:rsidR="00E00194" w:rsidRPr="00E00194" w:rsidRDefault="00E00194" w:rsidP="00E0019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 xml:space="preserve">Mostafa S, Nab MH, Elrabat K, Kabil H, Elmelegy N. Comparison between bolus intracoronary versus bolus intravenous injection regimens of eptifibatide during primary PCI in patients with anterior STEMI. </w:t>
      </w:r>
      <w:r w:rsidRPr="00E00194">
        <w:rPr>
          <w:rFonts w:ascii="Times New Roman" w:eastAsia="Times New Roman" w:hAnsi="Times New Roman" w:cs="Times New Roman"/>
          <w:i/>
          <w:iCs/>
          <w:sz w:val="24"/>
          <w:szCs w:val="24"/>
        </w:rPr>
        <w:t>Atheroscler Suppl</w:t>
      </w:r>
      <w:r w:rsidRPr="00E00194">
        <w:rPr>
          <w:rFonts w:ascii="Times New Roman" w:eastAsia="Times New Roman" w:hAnsi="Times New Roman" w:cs="Times New Roman"/>
          <w:sz w:val="24"/>
          <w:szCs w:val="24"/>
        </w:rPr>
        <w:t xml:space="preserve"> 2017;25:e3.</w:t>
      </w:r>
    </w:p>
    <w:p w14:paraId="0EA899F7" w14:textId="77777777" w:rsidR="00E00194" w:rsidRPr="00E00194" w:rsidRDefault="00E00194" w:rsidP="00E0019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 xml:space="preserve">Stone GW, McLaurin BT, Cox DA, et al. ACUITY Investigators. Bivalirudin for patients with acute coronary syndromes. </w:t>
      </w:r>
      <w:r w:rsidRPr="00E00194">
        <w:rPr>
          <w:rFonts w:ascii="Times New Roman" w:eastAsia="Times New Roman" w:hAnsi="Times New Roman" w:cs="Times New Roman"/>
          <w:i/>
          <w:iCs/>
          <w:sz w:val="24"/>
          <w:szCs w:val="24"/>
        </w:rPr>
        <w:t>N Engl J Med</w:t>
      </w:r>
      <w:r w:rsidRPr="00E00194">
        <w:rPr>
          <w:rFonts w:ascii="Times New Roman" w:eastAsia="Times New Roman" w:hAnsi="Times New Roman" w:cs="Times New Roman"/>
          <w:sz w:val="24"/>
          <w:szCs w:val="24"/>
        </w:rPr>
        <w:t xml:space="preserve"> 2006;355:2203-16.</w:t>
      </w:r>
    </w:p>
    <w:p w14:paraId="752758A4" w14:textId="77777777" w:rsidR="00E00194" w:rsidRPr="00E00194" w:rsidRDefault="00E00194" w:rsidP="00E0019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Fung AY, Saw J, Starovoytov A, et al. Abbreviated infusion of eptifibatide after successful coronary intervention The BRIEF-PCI (Brief Infusion of Eptifibatide Following Percutaneous Coronary Intervention) randomized trial.</w:t>
      </w:r>
      <w:r w:rsidRPr="00E00194">
        <w:rPr>
          <w:rFonts w:ascii="Times New Roman" w:eastAsia="Times New Roman" w:hAnsi="Times New Roman" w:cs="Times New Roman"/>
          <w:i/>
          <w:iCs/>
          <w:sz w:val="24"/>
          <w:szCs w:val="24"/>
        </w:rPr>
        <w:t xml:space="preserve"> J Am Coll Cardiol</w:t>
      </w:r>
      <w:r w:rsidRPr="00E00194">
        <w:rPr>
          <w:rFonts w:ascii="Times New Roman" w:eastAsia="Times New Roman" w:hAnsi="Times New Roman" w:cs="Times New Roman"/>
          <w:sz w:val="24"/>
          <w:szCs w:val="24"/>
        </w:rPr>
        <w:t xml:space="preserve"> 2009;53:837-45.</w:t>
      </w:r>
    </w:p>
    <w:p w14:paraId="01808976" w14:textId="77777777" w:rsidR="00E00194" w:rsidRPr="00E00194" w:rsidRDefault="00E00194" w:rsidP="00E0019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 xml:space="preserve">Ahsan SA, Haque KS, Arzu J, Mahmood M, Fatema N, Hasan MN. Immediate &amp; Short Term Outcome of Using Single Bolus Eptifibatide in Percutaneous Coronary Intervention: A Randomized Control Study. </w:t>
      </w:r>
      <w:r w:rsidRPr="00E00194">
        <w:rPr>
          <w:rFonts w:ascii="Times New Roman" w:eastAsia="Times New Roman" w:hAnsi="Times New Roman" w:cs="Times New Roman"/>
          <w:i/>
          <w:iCs/>
          <w:sz w:val="24"/>
          <w:szCs w:val="24"/>
        </w:rPr>
        <w:t>Mymensingh Med J</w:t>
      </w:r>
      <w:r w:rsidRPr="00E00194">
        <w:rPr>
          <w:rFonts w:ascii="Times New Roman" w:eastAsia="Times New Roman" w:hAnsi="Times New Roman" w:cs="Times New Roman"/>
          <w:sz w:val="24"/>
          <w:szCs w:val="24"/>
        </w:rPr>
        <w:t xml:space="preserve"> 2017;26:300-5.</w:t>
      </w:r>
    </w:p>
    <w:p w14:paraId="3B262D56" w14:textId="77777777" w:rsidR="00E00194" w:rsidRPr="00E00194" w:rsidRDefault="00E00194" w:rsidP="00E0019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 xml:space="preserve">Kolh P, Windecker S, Alfonso F, et al. 2014 ESC/EACTS Guidelines on myocardial revascularization: the Task Force on Myocardial Revascularization of the European Society of Cardiology (ESC) and the European Association for Cardio-Thoracic Surgery (EACTS). Developed with the special contribution of the European Association of Percutaneous Cardiovascular Interventions (EAPCI). </w:t>
      </w:r>
      <w:r w:rsidRPr="00E00194">
        <w:rPr>
          <w:rFonts w:ascii="Times New Roman" w:eastAsia="Times New Roman" w:hAnsi="Times New Roman" w:cs="Times New Roman"/>
          <w:i/>
          <w:iCs/>
          <w:sz w:val="24"/>
          <w:szCs w:val="24"/>
        </w:rPr>
        <w:t xml:space="preserve">Eur J Cardiothorac Surg </w:t>
      </w:r>
      <w:r w:rsidRPr="00E00194">
        <w:rPr>
          <w:rFonts w:ascii="Times New Roman" w:eastAsia="Times New Roman" w:hAnsi="Times New Roman" w:cs="Times New Roman"/>
          <w:sz w:val="24"/>
          <w:szCs w:val="24"/>
        </w:rPr>
        <w:t>2014;46:517-92.</w:t>
      </w:r>
    </w:p>
    <w:p w14:paraId="42A6224C" w14:textId="77777777" w:rsidR="00E00194" w:rsidRPr="00E00194" w:rsidRDefault="00E00194" w:rsidP="00E0019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 xml:space="preserve">Stone GW, Witzenbichler B, Guagliumi G, et al. Bivalirudin during primary PCI in acute myocardial infarction. </w:t>
      </w:r>
      <w:r w:rsidRPr="00E00194">
        <w:rPr>
          <w:rFonts w:ascii="Times New Roman" w:eastAsia="Times New Roman" w:hAnsi="Times New Roman" w:cs="Times New Roman"/>
          <w:i/>
          <w:iCs/>
          <w:sz w:val="24"/>
          <w:szCs w:val="24"/>
        </w:rPr>
        <w:t>N Engl J Med</w:t>
      </w:r>
      <w:r w:rsidRPr="00E00194">
        <w:rPr>
          <w:rFonts w:ascii="Times New Roman" w:eastAsia="Times New Roman" w:hAnsi="Times New Roman" w:cs="Times New Roman"/>
          <w:sz w:val="24"/>
          <w:szCs w:val="24"/>
        </w:rPr>
        <w:t xml:space="preserve"> 2008;358:2218-30.</w:t>
      </w:r>
    </w:p>
    <w:p w14:paraId="7A7E8BAE" w14:textId="77777777" w:rsidR="00E00194" w:rsidRPr="00E00194" w:rsidRDefault="00E00194" w:rsidP="00E0019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00194">
        <w:rPr>
          <w:rFonts w:ascii="Times New Roman" w:eastAsia="Times New Roman" w:hAnsi="Times New Roman" w:cs="Times New Roman"/>
          <w:sz w:val="24"/>
          <w:szCs w:val="24"/>
        </w:rPr>
        <w:t xml:space="preserve">Bhatt DL, Topol EJ. Current role of platelet glycoprotein IIb/IIIa inhibitors in acute coronary syndromes. </w:t>
      </w:r>
      <w:r w:rsidRPr="00E00194">
        <w:rPr>
          <w:rFonts w:ascii="Times New Roman" w:eastAsia="Times New Roman" w:hAnsi="Times New Roman" w:cs="Times New Roman"/>
          <w:i/>
          <w:iCs/>
          <w:sz w:val="24"/>
          <w:szCs w:val="24"/>
        </w:rPr>
        <w:t>JAMA</w:t>
      </w:r>
      <w:r w:rsidRPr="00E00194">
        <w:rPr>
          <w:rFonts w:ascii="Times New Roman" w:eastAsia="Times New Roman" w:hAnsi="Times New Roman" w:cs="Times New Roman"/>
          <w:sz w:val="24"/>
          <w:szCs w:val="24"/>
        </w:rPr>
        <w:t xml:space="preserve"> 2000;284:1549-58.</w:t>
      </w:r>
    </w:p>
    <w:p w14:paraId="2838931F" w14:textId="77777777" w:rsidR="006B594B" w:rsidRDefault="006B594B">
      <w:bookmarkStart w:id="0" w:name="_GoBack"/>
      <w:bookmarkEnd w:id="0"/>
    </w:p>
    <w:sectPr w:rsidR="006B59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F16B6"/>
    <w:multiLevelType w:val="multilevel"/>
    <w:tmpl w:val="18829D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3E3DB8"/>
    <w:multiLevelType w:val="multilevel"/>
    <w:tmpl w:val="E4483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194"/>
    <w:rsid w:val="006B594B"/>
    <w:rsid w:val="00E00194"/>
    <w:rsid w:val="00F524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5B738"/>
  <w15:chartTrackingRefBased/>
  <w15:docId w15:val="{0DAAB53C-C1C6-449F-9560-0519562E4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4165114">
      <w:bodyDiv w:val="1"/>
      <w:marLeft w:val="0"/>
      <w:marRight w:val="0"/>
      <w:marTop w:val="0"/>
      <w:marBottom w:val="0"/>
      <w:divBdr>
        <w:top w:val="none" w:sz="0" w:space="0" w:color="auto"/>
        <w:left w:val="none" w:sz="0" w:space="0" w:color="auto"/>
        <w:bottom w:val="none" w:sz="0" w:space="0" w:color="auto"/>
        <w:right w:val="none" w:sz="0" w:space="0" w:color="auto"/>
      </w:divBdr>
      <w:divsChild>
        <w:div w:id="1451703512">
          <w:marLeft w:val="0"/>
          <w:marRight w:val="0"/>
          <w:marTop w:val="0"/>
          <w:marBottom w:val="0"/>
          <w:divBdr>
            <w:top w:val="none" w:sz="0" w:space="0" w:color="auto"/>
            <w:left w:val="none" w:sz="0" w:space="0" w:color="auto"/>
            <w:bottom w:val="none" w:sz="0" w:space="0" w:color="auto"/>
            <w:right w:val="none" w:sz="0" w:space="0" w:color="auto"/>
          </w:divBdr>
          <w:divsChild>
            <w:div w:id="1830293407">
              <w:marLeft w:val="0"/>
              <w:marRight w:val="0"/>
              <w:marTop w:val="0"/>
              <w:marBottom w:val="0"/>
              <w:divBdr>
                <w:top w:val="none" w:sz="0" w:space="0" w:color="auto"/>
                <w:left w:val="none" w:sz="0" w:space="0" w:color="auto"/>
                <w:bottom w:val="none" w:sz="0" w:space="0" w:color="auto"/>
                <w:right w:val="none" w:sz="0" w:space="0" w:color="auto"/>
              </w:divBdr>
              <w:divsChild>
                <w:div w:id="1398091663">
                  <w:marLeft w:val="0"/>
                  <w:marRight w:val="0"/>
                  <w:marTop w:val="0"/>
                  <w:marBottom w:val="0"/>
                  <w:divBdr>
                    <w:top w:val="none" w:sz="0" w:space="0" w:color="auto"/>
                    <w:left w:val="none" w:sz="0" w:space="0" w:color="auto"/>
                    <w:bottom w:val="none" w:sz="0" w:space="0" w:color="auto"/>
                    <w:right w:val="none" w:sz="0" w:space="0" w:color="auto"/>
                  </w:divBdr>
                  <w:divsChild>
                    <w:div w:id="38097337">
                      <w:marLeft w:val="0"/>
                      <w:marRight w:val="0"/>
                      <w:marTop w:val="0"/>
                      <w:marBottom w:val="0"/>
                      <w:divBdr>
                        <w:top w:val="none" w:sz="0" w:space="0" w:color="auto"/>
                        <w:left w:val="none" w:sz="0" w:space="0" w:color="auto"/>
                        <w:bottom w:val="none" w:sz="0" w:space="0" w:color="auto"/>
                        <w:right w:val="none" w:sz="0" w:space="0" w:color="auto"/>
                      </w:divBdr>
                      <w:divsChild>
                        <w:div w:id="1853907498">
                          <w:marLeft w:val="0"/>
                          <w:marRight w:val="0"/>
                          <w:marTop w:val="0"/>
                          <w:marBottom w:val="0"/>
                          <w:divBdr>
                            <w:top w:val="none" w:sz="0" w:space="0" w:color="auto"/>
                            <w:left w:val="none" w:sz="0" w:space="0" w:color="auto"/>
                            <w:bottom w:val="none" w:sz="0" w:space="0" w:color="auto"/>
                            <w:right w:val="none" w:sz="0" w:space="0" w:color="auto"/>
                          </w:divBdr>
                          <w:divsChild>
                            <w:div w:id="104930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606210">
          <w:marLeft w:val="0"/>
          <w:marRight w:val="0"/>
          <w:marTop w:val="0"/>
          <w:marBottom w:val="0"/>
          <w:divBdr>
            <w:top w:val="none" w:sz="0" w:space="0" w:color="auto"/>
            <w:left w:val="none" w:sz="0" w:space="0" w:color="auto"/>
            <w:bottom w:val="none" w:sz="0" w:space="0" w:color="auto"/>
            <w:right w:val="none" w:sz="0" w:space="0" w:color="auto"/>
          </w:divBdr>
          <w:divsChild>
            <w:div w:id="536359593">
              <w:marLeft w:val="0"/>
              <w:marRight w:val="0"/>
              <w:marTop w:val="0"/>
              <w:marBottom w:val="0"/>
              <w:divBdr>
                <w:top w:val="none" w:sz="0" w:space="0" w:color="auto"/>
                <w:left w:val="none" w:sz="0" w:space="0" w:color="auto"/>
                <w:bottom w:val="none" w:sz="0" w:space="0" w:color="auto"/>
                <w:right w:val="none" w:sz="0" w:space="0" w:color="auto"/>
              </w:divBdr>
            </w:div>
          </w:divsChild>
        </w:div>
        <w:div w:id="7422899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cc.org/membership/person?id=472c2381-7149-4597-8d71-e204711e04d0" TargetMode="External"/><Relationship Id="rId3" Type="http://schemas.openxmlformats.org/officeDocument/2006/relationships/settings" Target="settings.xml"/><Relationship Id="rId7" Type="http://schemas.openxmlformats.org/officeDocument/2006/relationships/hyperlink" Target="http://www.acc.org/membership/person?id=dd31a89e-a336-4e16-aebb-410cc734b919"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cc.org/membership/person?id=0bac6a13-cf6b-45c7-b836-40afa441c375" TargetMode="External"/><Relationship Id="rId11" Type="http://schemas.openxmlformats.org/officeDocument/2006/relationships/fontTable" Target="fontTable.xml"/><Relationship Id="rId5" Type="http://schemas.openxmlformats.org/officeDocument/2006/relationships/hyperlink" Target="http://www.acc.org/membership/person?id=eca9162b-a765-4a47-b6f3-868c70937ade" TargetMode="External"/><Relationship Id="rId10" Type="http://schemas.openxmlformats.org/officeDocument/2006/relationships/hyperlink" Target="https://www.accessdata.fda.gov/drugsatfda_docs/label/2015/204958lbl.pdf" TargetMode="External"/><Relationship Id="rId4" Type="http://schemas.openxmlformats.org/officeDocument/2006/relationships/webSettings" Target="webSettings.xml"/><Relationship Id="rId9" Type="http://schemas.openxmlformats.org/officeDocument/2006/relationships/hyperlink" Target="http://www.acc.org/membership/person?id=20ea30cd-323b-4478-ab77-62376bba009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5778</Words>
  <Characters>32935</Characters>
  <Application>Microsoft Office Word</Application>
  <DocSecurity>0</DocSecurity>
  <Lines>274</Lines>
  <Paragraphs>77</Paragraphs>
  <ScaleCrop>false</ScaleCrop>
  <Company/>
  <LinksUpToDate>false</LinksUpToDate>
  <CharactersWithSpaces>38636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Maryam</dc:creator>
  <cp:keywords/>
  <dc:description/>
  <cp:lastModifiedBy>Maryam</cp:lastModifiedBy>
  <cp:revision>1</cp:revision>
  <dcterms:created xsi:type="dcterms:W3CDTF">2018-10-14T13:31:00Z</dcterms:created>
  <dcterms:modified xsi:type="dcterms:W3CDTF">2018-10-14T13:31:00Z</dcterms:modified>
</cp:coreProperties>
</file>