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1A0" w:rsidRPr="001D61A0" w:rsidRDefault="001D61A0" w:rsidP="001D61A0">
      <w:pPr>
        <w:bidi w:val="0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spellStart"/>
      <w:r w:rsidRPr="001D61A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Clopidogrel</w:t>
      </w:r>
      <w:proofErr w:type="spellEnd"/>
      <w:r w:rsidRPr="001D61A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plus aspirin versus oral anticoagulation for atrial fibrillation in the </w:t>
      </w:r>
      <w:proofErr w:type="gramStart"/>
      <w:r w:rsidRPr="001D61A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Atrial</w:t>
      </w:r>
      <w:proofErr w:type="gramEnd"/>
      <w:r w:rsidRPr="001D61A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fibrillation </w:t>
      </w:r>
      <w:proofErr w:type="spellStart"/>
      <w:r w:rsidRPr="001D61A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Clopidogrel</w:t>
      </w:r>
      <w:proofErr w:type="spellEnd"/>
      <w:r w:rsidRPr="001D61A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Trial with </w:t>
      </w:r>
      <w:proofErr w:type="spellStart"/>
      <w:r w:rsidRPr="001D61A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Irbesartan</w:t>
      </w:r>
      <w:proofErr w:type="spellEnd"/>
      <w:r w:rsidRPr="001D61A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for prevention of Vascular Events (ACTIVE W): a </w:t>
      </w:r>
      <w:proofErr w:type="spellStart"/>
      <w:r w:rsidRPr="001D61A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randomised</w:t>
      </w:r>
      <w:proofErr w:type="spellEnd"/>
      <w:r w:rsidRPr="001D61A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controlled trial</w:t>
      </w:r>
    </w:p>
    <w:p w:rsidR="001D61A0" w:rsidRPr="001D61A0" w:rsidRDefault="001D61A0" w:rsidP="001D61A0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61A0">
        <w:rPr>
          <w:rFonts w:ascii="Times New Roman" w:eastAsia="Times New Roman" w:hAnsi="Times New Roman" w:cs="Times New Roman"/>
          <w:sz w:val="24"/>
          <w:szCs w:val="24"/>
        </w:rPr>
        <w:t>The ACTIVE Writing Group on behalf of the ACTIVE Investigators</w:t>
      </w:r>
      <w:r w:rsidRPr="001D61A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*‡</w:t>
      </w:r>
    </w:p>
    <w:p w:rsidR="001D61A0" w:rsidRPr="001D61A0" w:rsidRDefault="001D61A0" w:rsidP="001D61A0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61A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‡</w:t>
      </w:r>
      <w:r w:rsidRPr="001D61A0">
        <w:rPr>
          <w:rFonts w:ascii="Times New Roman" w:eastAsia="Times New Roman" w:hAnsi="Times New Roman" w:cs="Times New Roman"/>
          <w:sz w:val="24"/>
          <w:szCs w:val="24"/>
        </w:rPr>
        <w:t>Members listed at end of paper</w:t>
      </w:r>
    </w:p>
    <w:p w:rsidR="001D61A0" w:rsidRPr="001D61A0" w:rsidRDefault="001D61A0" w:rsidP="001D61A0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61A0"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 wp14:anchorId="2DAC0AFB" wp14:editId="3C2E150D">
            <wp:extent cx="838200" cy="171450"/>
            <wp:effectExtent l="0" t="0" r="0" b="0"/>
            <wp:docPr id="1" name="Picture 1" descr="Article has an altmetric score of 12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ticle has an altmetric score of 12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1A0" w:rsidRPr="001D61A0" w:rsidRDefault="001D61A0" w:rsidP="001D61A0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61A0">
        <w:rPr>
          <w:rFonts w:ascii="Times New Roman" w:eastAsia="Times New Roman" w:hAnsi="Times New Roman" w:cs="Times New Roman"/>
          <w:sz w:val="24"/>
          <w:szCs w:val="24"/>
        </w:rPr>
        <w:t xml:space="preserve">DOI: </w:t>
      </w:r>
      <w:hyperlink r:id="rId8" w:history="1">
        <w:r w:rsidRPr="001D61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http://dx.doi.org/10.1016/S0140-6736(06)68845-4</w:t>
        </w:r>
      </w:hyperlink>
    </w:p>
    <w:p w:rsidR="001D61A0" w:rsidRPr="001D61A0" w:rsidRDefault="001D61A0" w:rsidP="001D61A0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hyperlink r:id="rId9" w:history="1">
        <w:r w:rsidRPr="001D61A0">
          <w:rPr>
            <w:rFonts w:ascii="Times New Roman" w:eastAsia="Times New Roman" w:hAnsi="Times New Roman" w:cs="Times New Roman"/>
            <w:b/>
            <w:bCs/>
            <w:noProof/>
            <w:color w:val="0000FF"/>
            <w:sz w:val="36"/>
            <w:szCs w:val="36"/>
          </w:rPr>
          <w:drawing>
            <wp:inline distT="0" distB="0" distL="0" distR="0" wp14:anchorId="3FC5CDF9" wp14:editId="227B900B">
              <wp:extent cx="85725" cy="85725"/>
              <wp:effectExtent l="0" t="0" r="9525" b="9525"/>
              <wp:docPr id="2" name="imgShowHide" descr="show">
                <a:hlinkClick xmlns:a="http://schemas.openxmlformats.org/drawingml/2006/main" r:id="rId10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gShowHide" descr="show">
                        <a:hlinkClick r:id="rId10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5725" cy="85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1D61A0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</w:rPr>
          <w:t>Article Info</w:t>
        </w:r>
      </w:hyperlink>
    </w:p>
    <w:p w:rsidR="001D61A0" w:rsidRPr="001D61A0" w:rsidRDefault="001D61A0" w:rsidP="001D61A0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61A0">
        <w:rPr>
          <w:rFonts w:ascii="Times New Roman" w:eastAsia="Times New Roman" w:hAnsi="Times New Roman" w:cs="Times New Roman"/>
          <w:sz w:val="24"/>
          <w:szCs w:val="24"/>
        </w:rPr>
        <w:t xml:space="preserve">This article can be found in the following collections: </w:t>
      </w:r>
      <w:hyperlink r:id="rId12" w:history="1">
        <w:r w:rsidRPr="001D61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Arrhythmias</w:t>
        </w:r>
      </w:hyperlink>
      <w:r w:rsidRPr="001D61A0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hyperlink r:id="rId13" w:history="1">
        <w:r w:rsidRPr="001D61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Cerebrovascular disease</w:t>
        </w:r>
      </w:hyperlink>
      <w:r w:rsidRPr="001D61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D61A0" w:rsidRPr="001D61A0" w:rsidRDefault="001D61A0" w:rsidP="001D61A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4" w:history="1">
        <w:r w:rsidRPr="001D61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Summary</w:t>
        </w:r>
      </w:hyperlink>
    </w:p>
    <w:p w:rsidR="001D61A0" w:rsidRPr="001D61A0" w:rsidRDefault="001D61A0" w:rsidP="001D61A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5" w:history="1">
        <w:r w:rsidRPr="001D61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Full Text</w:t>
        </w:r>
      </w:hyperlink>
    </w:p>
    <w:p w:rsidR="001D61A0" w:rsidRPr="001D61A0" w:rsidRDefault="001D61A0" w:rsidP="001D61A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6" w:history="1">
        <w:r w:rsidRPr="001D61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Tables and Figures</w:t>
        </w:r>
      </w:hyperlink>
    </w:p>
    <w:p w:rsidR="001D61A0" w:rsidRPr="001D61A0" w:rsidRDefault="001D61A0" w:rsidP="001D61A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7" w:history="1">
        <w:r w:rsidRPr="001D61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References</w:t>
        </w:r>
      </w:hyperlink>
    </w:p>
    <w:p w:rsidR="001D61A0" w:rsidRPr="001D61A0" w:rsidRDefault="001D61A0" w:rsidP="001D61A0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D61A0">
        <w:rPr>
          <w:rFonts w:ascii="Times New Roman" w:eastAsia="Times New Roman" w:hAnsi="Times New Roman" w:cs="Times New Roman"/>
          <w:b/>
          <w:bCs/>
          <w:sz w:val="36"/>
          <w:szCs w:val="36"/>
        </w:rPr>
        <w:t>Summary</w:t>
      </w:r>
    </w:p>
    <w:p w:rsidR="001D61A0" w:rsidRPr="001D61A0" w:rsidRDefault="001D61A0" w:rsidP="001D61A0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D61A0">
        <w:rPr>
          <w:rFonts w:ascii="Times New Roman" w:eastAsia="Times New Roman" w:hAnsi="Times New Roman" w:cs="Times New Roman"/>
          <w:b/>
          <w:bCs/>
          <w:sz w:val="27"/>
          <w:szCs w:val="27"/>
        </w:rPr>
        <w:t>Background</w:t>
      </w:r>
    </w:p>
    <w:p w:rsidR="001D61A0" w:rsidRPr="001D61A0" w:rsidRDefault="001D61A0" w:rsidP="001D61A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61A0">
        <w:rPr>
          <w:rFonts w:ascii="Times New Roman" w:eastAsia="Times New Roman" w:hAnsi="Times New Roman" w:cs="Times New Roman"/>
          <w:sz w:val="24"/>
          <w:szCs w:val="24"/>
        </w:rPr>
        <w:t xml:space="preserve">Oral anticoagulation therapy reduces risk of vascular events in patients with atrial fibrillation. However, long-term monitoring is necessary and many patients cannot achieve optimum anticoagulation. We assessed whether </w:t>
      </w:r>
      <w:proofErr w:type="spellStart"/>
      <w:r w:rsidRPr="001D61A0">
        <w:rPr>
          <w:rFonts w:ascii="Times New Roman" w:eastAsia="Times New Roman" w:hAnsi="Times New Roman" w:cs="Times New Roman"/>
          <w:sz w:val="24"/>
          <w:szCs w:val="24"/>
        </w:rPr>
        <w:t>clopidogrel</w:t>
      </w:r>
      <w:proofErr w:type="spellEnd"/>
      <w:r w:rsidRPr="001D61A0">
        <w:rPr>
          <w:rFonts w:ascii="Times New Roman" w:eastAsia="Times New Roman" w:hAnsi="Times New Roman" w:cs="Times New Roman"/>
          <w:sz w:val="24"/>
          <w:szCs w:val="24"/>
        </w:rPr>
        <w:t xml:space="preserve"> plus aspirin was non-inferior to oral anticoagulation therapy for prevention of vascular events.</w:t>
      </w:r>
    </w:p>
    <w:p w:rsidR="001D61A0" w:rsidRPr="001D61A0" w:rsidRDefault="001D61A0" w:rsidP="001D61A0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D61A0">
        <w:rPr>
          <w:rFonts w:ascii="Times New Roman" w:eastAsia="Times New Roman" w:hAnsi="Times New Roman" w:cs="Times New Roman"/>
          <w:b/>
          <w:bCs/>
          <w:sz w:val="27"/>
          <w:szCs w:val="27"/>
        </w:rPr>
        <w:t>Methods</w:t>
      </w:r>
    </w:p>
    <w:p w:rsidR="001D61A0" w:rsidRPr="001D61A0" w:rsidRDefault="001D61A0" w:rsidP="001D61A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61A0">
        <w:rPr>
          <w:rFonts w:ascii="Times New Roman" w:eastAsia="Times New Roman" w:hAnsi="Times New Roman" w:cs="Times New Roman"/>
          <w:sz w:val="24"/>
          <w:szCs w:val="24"/>
        </w:rPr>
        <w:t xml:space="preserve">Patients were enrolled if they had atrial fibrillation plus one or more risk factor for stroke, and were randomly allocated to receive oral anticoagulation therapy (target international </w:t>
      </w:r>
      <w:proofErr w:type="spellStart"/>
      <w:r w:rsidRPr="001D61A0">
        <w:rPr>
          <w:rFonts w:ascii="Times New Roman" w:eastAsia="Times New Roman" w:hAnsi="Times New Roman" w:cs="Times New Roman"/>
          <w:sz w:val="24"/>
          <w:szCs w:val="24"/>
        </w:rPr>
        <w:t>normalised</w:t>
      </w:r>
      <w:proofErr w:type="spellEnd"/>
      <w:r w:rsidRPr="001D61A0">
        <w:rPr>
          <w:rFonts w:ascii="Times New Roman" w:eastAsia="Times New Roman" w:hAnsi="Times New Roman" w:cs="Times New Roman"/>
          <w:sz w:val="24"/>
          <w:szCs w:val="24"/>
        </w:rPr>
        <w:t xml:space="preserve"> ratio of 2·0–3·0; n=3371) or </w:t>
      </w:r>
      <w:proofErr w:type="spellStart"/>
      <w:r w:rsidRPr="001D61A0">
        <w:rPr>
          <w:rFonts w:ascii="Times New Roman" w:eastAsia="Times New Roman" w:hAnsi="Times New Roman" w:cs="Times New Roman"/>
          <w:sz w:val="24"/>
          <w:szCs w:val="24"/>
        </w:rPr>
        <w:t>clopidogrel</w:t>
      </w:r>
      <w:proofErr w:type="spellEnd"/>
      <w:r w:rsidRPr="001D61A0">
        <w:rPr>
          <w:rFonts w:ascii="Times New Roman" w:eastAsia="Times New Roman" w:hAnsi="Times New Roman" w:cs="Times New Roman"/>
          <w:sz w:val="24"/>
          <w:szCs w:val="24"/>
        </w:rPr>
        <w:t xml:space="preserve"> (75 mg per day) plus aspirin (75–100 mg per day recommended; n=3335). Outcome events were adjudicated by a blinded committee. Primary outcome was first occurrence of stroke, non-CNS systemic embolus, myocardial infarction, or vascular death. Analyses were by intention-to-treat. This study is registered with </w:t>
      </w:r>
      <w:hyperlink r:id="rId18" w:history="1">
        <w:r w:rsidRPr="001D61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ClinicalTrials.gov</w:t>
        </w:r>
      </w:hyperlink>
      <w:r w:rsidRPr="001D61A0">
        <w:rPr>
          <w:rFonts w:ascii="Times New Roman" w:eastAsia="Times New Roman" w:hAnsi="Times New Roman" w:cs="Times New Roman"/>
          <w:sz w:val="24"/>
          <w:szCs w:val="24"/>
        </w:rPr>
        <w:t>, number NCT00243178.</w:t>
      </w:r>
    </w:p>
    <w:p w:rsidR="001D61A0" w:rsidRPr="001D61A0" w:rsidRDefault="001D61A0" w:rsidP="001D61A0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D61A0">
        <w:rPr>
          <w:rFonts w:ascii="Times New Roman" w:eastAsia="Times New Roman" w:hAnsi="Times New Roman" w:cs="Times New Roman"/>
          <w:b/>
          <w:bCs/>
          <w:sz w:val="27"/>
          <w:szCs w:val="27"/>
        </w:rPr>
        <w:t>Results</w:t>
      </w:r>
    </w:p>
    <w:p w:rsidR="001D61A0" w:rsidRPr="001D61A0" w:rsidRDefault="001D61A0" w:rsidP="001D61A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61A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study was stopped early because of clear evidence of superiority of oral anticoagulation therapy. There were 165 primary events in patients on oral anticoagulation therapy (annual risk 3·93%) and 234 in those on </w:t>
      </w:r>
      <w:proofErr w:type="spellStart"/>
      <w:r w:rsidRPr="001D61A0">
        <w:rPr>
          <w:rFonts w:ascii="Times New Roman" w:eastAsia="Times New Roman" w:hAnsi="Times New Roman" w:cs="Times New Roman"/>
          <w:sz w:val="24"/>
          <w:szCs w:val="24"/>
        </w:rPr>
        <w:t>clopidogrel</w:t>
      </w:r>
      <w:proofErr w:type="spellEnd"/>
      <w:r w:rsidRPr="001D61A0">
        <w:rPr>
          <w:rFonts w:ascii="Times New Roman" w:eastAsia="Times New Roman" w:hAnsi="Times New Roman" w:cs="Times New Roman"/>
          <w:sz w:val="24"/>
          <w:szCs w:val="24"/>
        </w:rPr>
        <w:t xml:space="preserve"> plus aspirin (annual risk 5·60%; relative risk 1·44 (1·18–1.76; p=0.0003). Patients on oral anticoagulation therapy who were already receiving this treatment at study entry had a trend towards a greater reduction in vascular events (relative risk 1·50, 95% CI 1·19–1·89) and a significantly (p=0·03 for interaction) lower risk of major bleeding with oral anticoagulation therapy (1.30; 0.94–1.79) than patients not on this treatment at study entry (1·27, 0·85–1·89 and 0·59, 0·32–1·08, respectively).</w:t>
      </w:r>
    </w:p>
    <w:p w:rsidR="001D61A0" w:rsidRPr="001D61A0" w:rsidRDefault="001D61A0" w:rsidP="001D61A0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D61A0">
        <w:rPr>
          <w:rFonts w:ascii="Times New Roman" w:eastAsia="Times New Roman" w:hAnsi="Times New Roman" w:cs="Times New Roman"/>
          <w:b/>
          <w:bCs/>
          <w:sz w:val="27"/>
          <w:szCs w:val="27"/>
        </w:rPr>
        <w:t>Conclusion</w:t>
      </w:r>
    </w:p>
    <w:p w:rsidR="001D61A0" w:rsidRPr="001D61A0" w:rsidRDefault="001D61A0" w:rsidP="001D61A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61A0">
        <w:rPr>
          <w:rFonts w:ascii="Times New Roman" w:eastAsia="Times New Roman" w:hAnsi="Times New Roman" w:cs="Times New Roman"/>
          <w:sz w:val="24"/>
          <w:szCs w:val="24"/>
        </w:rPr>
        <w:t xml:space="preserve">Oral anticoagulation therapy is superior to </w:t>
      </w:r>
      <w:proofErr w:type="spellStart"/>
      <w:r w:rsidRPr="001D61A0">
        <w:rPr>
          <w:rFonts w:ascii="Times New Roman" w:eastAsia="Times New Roman" w:hAnsi="Times New Roman" w:cs="Times New Roman"/>
          <w:sz w:val="24"/>
          <w:szCs w:val="24"/>
        </w:rPr>
        <w:t>clopidogrel</w:t>
      </w:r>
      <w:proofErr w:type="spellEnd"/>
      <w:r w:rsidRPr="001D61A0">
        <w:rPr>
          <w:rFonts w:ascii="Times New Roman" w:eastAsia="Times New Roman" w:hAnsi="Times New Roman" w:cs="Times New Roman"/>
          <w:sz w:val="24"/>
          <w:szCs w:val="24"/>
        </w:rPr>
        <w:t xml:space="preserve"> plus aspirin for prevention of vascular events in patients with atrial fibrillation at high risk of stroke, especially in those already taking oral anticoagulation therapy.</w:t>
      </w:r>
    </w:p>
    <w:p w:rsidR="001C68EF" w:rsidRDefault="001C68EF">
      <w:pPr>
        <w:rPr>
          <w:rFonts w:hint="cs"/>
          <w:rtl/>
        </w:rPr>
      </w:pPr>
      <w:bookmarkStart w:id="0" w:name="_GoBack"/>
      <w:bookmarkEnd w:id="0"/>
    </w:p>
    <w:sectPr w:rsidR="001C68EF" w:rsidSect="00E145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33D42"/>
    <w:multiLevelType w:val="multilevel"/>
    <w:tmpl w:val="8BD04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1A0"/>
    <w:rsid w:val="001C68EF"/>
    <w:rsid w:val="001D61A0"/>
    <w:rsid w:val="00E1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1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1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7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20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63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89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7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8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4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48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49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4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8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20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016/S0140-6736%2806%2968845-4" TargetMode="External"/><Relationship Id="rId13" Type="http://schemas.openxmlformats.org/officeDocument/2006/relationships/hyperlink" Target="http://www.thelancet.com/collections/cerebrovascular-disease" TargetMode="External"/><Relationship Id="rId18" Type="http://schemas.openxmlformats.org/officeDocument/2006/relationships/hyperlink" Target="http://ClinicalTrials.gov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hyperlink" Target="http://www.thelancet.com/collections/arrhythmias" TargetMode="External"/><Relationship Id="rId17" Type="http://schemas.openxmlformats.org/officeDocument/2006/relationships/hyperlink" Target="http://www.thelancet.com/journals/lancet/article/PIIS0140-6736%2806%2968845-4/references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helancet.com/action/showFullTextImages?pii=S0140-6736%2806%2968845-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altmetric.com/details.php?domain=www.thelancet.com&amp;citation_id=229767" TargetMode="External"/><Relationship Id="rId11" Type="http://schemas.openxmlformats.org/officeDocument/2006/relationships/image" Target="media/image2.gif"/><Relationship Id="rId5" Type="http://schemas.openxmlformats.org/officeDocument/2006/relationships/webSettings" Target="webSettings.xml"/><Relationship Id="rId15" Type="http://schemas.openxmlformats.org/officeDocument/2006/relationships/hyperlink" Target="http://www.thelancet.com/journals/lancet/article/PIIS0140-6736%2806%2968845-4/fulltext" TargetMode="External"/><Relationship Id="rId10" Type="http://schemas.openxmlformats.org/officeDocument/2006/relationships/hyperlink" Target="http://www.thelancet.com/pdfs/journals/lancet/PIIS0140-6736(06)68845-4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helancet.com/pdfs/journals/lancet/PIIS0140-6736%2806%2968845-4.pdf" TargetMode="External"/><Relationship Id="rId14" Type="http://schemas.openxmlformats.org/officeDocument/2006/relationships/hyperlink" Target="http://www.thelancet.com/journals/lancet/article/PIIS0140-6736%2806%2968845-4/abstr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2016-08-23T18:18:00Z</dcterms:created>
  <dcterms:modified xsi:type="dcterms:W3CDTF">2016-08-23T18:19:00Z</dcterms:modified>
</cp:coreProperties>
</file>