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B9B2D8" w14:textId="77777777" w:rsidR="00EB73CE" w:rsidRPr="00EB73CE" w:rsidRDefault="00EB73CE" w:rsidP="00EB73CE">
      <w:pPr>
        <w:spacing w:after="0" w:line="240" w:lineRule="auto"/>
        <w:rPr>
          <w:rFonts w:ascii="Times New Roman" w:eastAsia="Times New Roman" w:hAnsi="Times New Roman" w:cs="Times New Roman"/>
          <w:sz w:val="24"/>
          <w:szCs w:val="24"/>
        </w:rPr>
      </w:pPr>
      <w:r w:rsidRPr="00EB73CE">
        <w:rPr>
          <w:rFonts w:ascii="Times New Roman" w:eastAsia="Times New Roman" w:hAnsi="Times New Roman" w:cs="Times New Roman"/>
          <w:sz w:val="24"/>
          <w:szCs w:val="24"/>
        </w:rPr>
        <w:fldChar w:fldCharType="begin"/>
      </w:r>
      <w:r w:rsidRPr="00EB73CE">
        <w:rPr>
          <w:rFonts w:ascii="Times New Roman" w:eastAsia="Times New Roman" w:hAnsi="Times New Roman" w:cs="Times New Roman"/>
          <w:sz w:val="24"/>
          <w:szCs w:val="24"/>
        </w:rPr>
        <w:instrText xml:space="preserve"> HYPERLINK "https://www.pcronline.com/Topics/Coronary-interventions/other-coronary-interventions" </w:instrText>
      </w:r>
      <w:r w:rsidRPr="00EB73CE">
        <w:rPr>
          <w:rFonts w:ascii="Times New Roman" w:eastAsia="Times New Roman" w:hAnsi="Times New Roman" w:cs="Times New Roman"/>
          <w:sz w:val="24"/>
          <w:szCs w:val="24"/>
        </w:rPr>
        <w:fldChar w:fldCharType="separate"/>
      </w:r>
      <w:r w:rsidRPr="00EB73CE">
        <w:rPr>
          <w:rFonts w:ascii="Times New Roman" w:eastAsia="Times New Roman" w:hAnsi="Times New Roman" w:cs="Times New Roman"/>
          <w:color w:val="0000FF"/>
          <w:sz w:val="24"/>
          <w:szCs w:val="24"/>
          <w:u w:val="single"/>
        </w:rPr>
        <w:t>Other coronary interventions</w:t>
      </w:r>
      <w:r w:rsidRPr="00EB73CE">
        <w:rPr>
          <w:rFonts w:ascii="Times New Roman" w:eastAsia="Times New Roman" w:hAnsi="Times New Roman" w:cs="Times New Roman"/>
          <w:sz w:val="24"/>
          <w:szCs w:val="24"/>
        </w:rPr>
        <w:fldChar w:fldCharType="end"/>
      </w:r>
      <w:r w:rsidRPr="00EB73CE">
        <w:rPr>
          <w:rFonts w:ascii="Times New Roman" w:eastAsia="Times New Roman" w:hAnsi="Times New Roman" w:cs="Times New Roman"/>
          <w:sz w:val="24"/>
          <w:szCs w:val="24"/>
        </w:rPr>
        <w:t xml:space="preserve"> </w:t>
      </w:r>
    </w:p>
    <w:p w14:paraId="7C0F0393" w14:textId="77777777" w:rsidR="00EB73CE" w:rsidRPr="00EB73CE" w:rsidRDefault="00EB73CE" w:rsidP="00EB73CE">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EB73CE">
        <w:rPr>
          <w:rFonts w:ascii="Times New Roman" w:eastAsia="Times New Roman" w:hAnsi="Times New Roman" w:cs="Times New Roman"/>
          <w:b/>
          <w:bCs/>
          <w:kern w:val="36"/>
          <w:sz w:val="48"/>
          <w:szCs w:val="48"/>
        </w:rPr>
        <w:t xml:space="preserve">GLOBAL LEADERS a much-anticipated clinical trial from the ESC 2018 </w:t>
      </w:r>
    </w:p>
    <w:p w14:paraId="67090906" w14:textId="77777777" w:rsidR="00EB73CE" w:rsidRPr="00EB73CE" w:rsidRDefault="00EB73CE" w:rsidP="00EB73CE">
      <w:pPr>
        <w:spacing w:before="100" w:beforeAutospacing="1" w:after="100" w:afterAutospacing="1" w:line="240" w:lineRule="auto"/>
        <w:outlineLvl w:val="1"/>
        <w:rPr>
          <w:rFonts w:ascii="Times New Roman" w:eastAsia="Times New Roman" w:hAnsi="Times New Roman" w:cs="Times New Roman"/>
          <w:b/>
          <w:bCs/>
          <w:sz w:val="36"/>
          <w:szCs w:val="36"/>
        </w:rPr>
      </w:pPr>
      <w:r w:rsidRPr="00EB73CE">
        <w:rPr>
          <w:rFonts w:ascii="Times New Roman" w:eastAsia="Times New Roman" w:hAnsi="Times New Roman" w:cs="Times New Roman"/>
          <w:b/>
          <w:bCs/>
          <w:sz w:val="36"/>
          <w:szCs w:val="36"/>
        </w:rPr>
        <w:t>Reported from the European Society of Cardiology ESC Congress 2018 in Munich</w:t>
      </w:r>
    </w:p>
    <w:p w14:paraId="60AC174D" w14:textId="77777777" w:rsidR="00EB73CE" w:rsidRPr="00EB73CE" w:rsidRDefault="00EB73CE" w:rsidP="00EB73CE">
      <w:pPr>
        <w:spacing w:before="100" w:beforeAutospacing="1" w:after="100" w:afterAutospacing="1" w:line="240" w:lineRule="auto"/>
        <w:rPr>
          <w:rFonts w:ascii="Times New Roman" w:eastAsia="Times New Roman" w:hAnsi="Times New Roman" w:cs="Times New Roman"/>
          <w:sz w:val="24"/>
          <w:szCs w:val="24"/>
        </w:rPr>
      </w:pPr>
      <w:r w:rsidRPr="00EB73CE">
        <w:rPr>
          <w:rFonts w:ascii="Times New Roman" w:eastAsia="Times New Roman" w:hAnsi="Times New Roman" w:cs="Times New Roman"/>
          <w:sz w:val="24"/>
          <w:szCs w:val="24"/>
        </w:rPr>
        <w:t xml:space="preserve">The GLOBAL-LEADERS trial is a </w:t>
      </w:r>
      <w:proofErr w:type="spellStart"/>
      <w:r w:rsidRPr="00EB73CE">
        <w:rPr>
          <w:rFonts w:ascii="Times New Roman" w:eastAsia="Times New Roman" w:hAnsi="Times New Roman" w:cs="Times New Roman"/>
          <w:sz w:val="24"/>
          <w:szCs w:val="24"/>
        </w:rPr>
        <w:t>randomised</w:t>
      </w:r>
      <w:proofErr w:type="spellEnd"/>
      <w:r w:rsidRPr="00EB73CE">
        <w:rPr>
          <w:rFonts w:ascii="Times New Roman" w:eastAsia="Times New Roman" w:hAnsi="Times New Roman" w:cs="Times New Roman"/>
          <w:sz w:val="24"/>
          <w:szCs w:val="24"/>
        </w:rPr>
        <w:t xml:space="preserve"> comparison of 24-month Ticagrelor and 1-month aspirin versus 12-month dual antiplatelet therapy (DAPT) followed by aspirin monotherapy. Find out more!</w:t>
      </w:r>
    </w:p>
    <w:p w14:paraId="4506C2EF" w14:textId="77777777" w:rsidR="00EB73CE" w:rsidRPr="00EB73CE" w:rsidRDefault="00EB73CE" w:rsidP="00EB73CE">
      <w:pPr>
        <w:spacing w:before="100" w:beforeAutospacing="1" w:after="100" w:afterAutospacing="1" w:line="240" w:lineRule="auto"/>
        <w:outlineLvl w:val="1"/>
        <w:rPr>
          <w:rFonts w:ascii="Times New Roman" w:eastAsia="Times New Roman" w:hAnsi="Times New Roman" w:cs="Times New Roman"/>
          <w:b/>
          <w:bCs/>
          <w:sz w:val="36"/>
          <w:szCs w:val="36"/>
        </w:rPr>
      </w:pPr>
      <w:r w:rsidRPr="00EB73CE">
        <w:rPr>
          <w:rFonts w:ascii="Times New Roman" w:eastAsia="Times New Roman" w:hAnsi="Times New Roman" w:cs="Times New Roman"/>
          <w:b/>
          <w:bCs/>
          <w:sz w:val="36"/>
          <w:szCs w:val="36"/>
        </w:rPr>
        <w:t xml:space="preserve">Aspirin maintains its dominance in the management of CVD? </w:t>
      </w:r>
    </w:p>
    <w:p w14:paraId="2F711C1F" w14:textId="77777777" w:rsidR="00EB73CE" w:rsidRPr="00EB73CE" w:rsidRDefault="00EB73CE" w:rsidP="00EB73CE">
      <w:pPr>
        <w:spacing w:before="100" w:beforeAutospacing="1" w:after="100" w:afterAutospacing="1" w:line="240" w:lineRule="auto"/>
        <w:rPr>
          <w:rFonts w:ascii="Times New Roman" w:eastAsia="Times New Roman" w:hAnsi="Times New Roman" w:cs="Times New Roman"/>
          <w:sz w:val="24"/>
          <w:szCs w:val="24"/>
        </w:rPr>
      </w:pPr>
      <w:r w:rsidRPr="00EB73CE">
        <w:rPr>
          <w:rFonts w:ascii="Times New Roman" w:eastAsia="Times New Roman" w:hAnsi="Times New Roman" w:cs="Times New Roman"/>
          <w:sz w:val="24"/>
          <w:szCs w:val="24"/>
        </w:rPr>
        <w:t xml:space="preserve">At the </w:t>
      </w:r>
      <w:hyperlink r:id="rId4" w:tgtFrame="_blank" w:tooltip="ESC Congress 2018" w:history="1">
        <w:r w:rsidRPr="00EB73CE">
          <w:rPr>
            <w:rFonts w:ascii="Times New Roman" w:eastAsia="Times New Roman" w:hAnsi="Times New Roman" w:cs="Times New Roman"/>
            <w:color w:val="0000FF"/>
            <w:sz w:val="24"/>
            <w:szCs w:val="24"/>
            <w:u w:val="single"/>
          </w:rPr>
          <w:t>ESC Congress 2018</w:t>
        </w:r>
      </w:hyperlink>
      <w:r w:rsidRPr="00EB73CE">
        <w:rPr>
          <w:rFonts w:ascii="Times New Roman" w:eastAsia="Times New Roman" w:hAnsi="Times New Roman" w:cs="Times New Roman"/>
          <w:sz w:val="24"/>
          <w:szCs w:val="24"/>
        </w:rPr>
        <w:t xml:space="preserve"> in Munich, </w:t>
      </w:r>
      <w:hyperlink r:id="rId5" w:tgtFrame="_blank" w:tooltip="Patrick Serruys" w:history="1">
        <w:r w:rsidRPr="00EB73CE">
          <w:rPr>
            <w:rFonts w:ascii="Times New Roman" w:eastAsia="Times New Roman" w:hAnsi="Times New Roman" w:cs="Times New Roman"/>
            <w:color w:val="0000FF"/>
            <w:sz w:val="24"/>
            <w:szCs w:val="24"/>
            <w:u w:val="single"/>
          </w:rPr>
          <w:t xml:space="preserve">P. W. </w:t>
        </w:r>
        <w:proofErr w:type="spellStart"/>
        <w:r w:rsidRPr="00EB73CE">
          <w:rPr>
            <w:rFonts w:ascii="Times New Roman" w:eastAsia="Times New Roman" w:hAnsi="Times New Roman" w:cs="Times New Roman"/>
            <w:color w:val="0000FF"/>
            <w:sz w:val="24"/>
            <w:szCs w:val="24"/>
            <w:u w:val="single"/>
          </w:rPr>
          <w:t>Serruys</w:t>
        </w:r>
        <w:proofErr w:type="spellEnd"/>
      </w:hyperlink>
      <w:r w:rsidRPr="00EB73CE">
        <w:rPr>
          <w:rFonts w:ascii="Times New Roman" w:eastAsia="Times New Roman" w:hAnsi="Times New Roman" w:cs="Times New Roman"/>
          <w:sz w:val="24"/>
          <w:szCs w:val="24"/>
        </w:rPr>
        <w:t xml:space="preserve"> presented the results of the GLOBAL LEADERS trial.</w:t>
      </w:r>
    </w:p>
    <w:p w14:paraId="2150AE2D" w14:textId="77777777" w:rsidR="00EB73CE" w:rsidRPr="00EB73CE" w:rsidRDefault="00EB73CE" w:rsidP="00EB73CE">
      <w:pPr>
        <w:spacing w:before="100" w:beforeAutospacing="1" w:after="100" w:afterAutospacing="1" w:line="240" w:lineRule="auto"/>
        <w:outlineLvl w:val="2"/>
        <w:rPr>
          <w:rFonts w:ascii="Times New Roman" w:eastAsia="Times New Roman" w:hAnsi="Times New Roman" w:cs="Times New Roman"/>
          <w:b/>
          <w:bCs/>
          <w:sz w:val="27"/>
          <w:szCs w:val="27"/>
        </w:rPr>
      </w:pPr>
      <w:r w:rsidRPr="00EB73CE">
        <w:rPr>
          <w:rFonts w:ascii="Times New Roman" w:eastAsia="Times New Roman" w:hAnsi="Times New Roman" w:cs="Times New Roman"/>
          <w:b/>
          <w:bCs/>
          <w:sz w:val="27"/>
          <w:szCs w:val="27"/>
        </w:rPr>
        <w:t>Why is this trial important?</w:t>
      </w:r>
    </w:p>
    <w:p w14:paraId="2F36B0D1" w14:textId="77777777" w:rsidR="00EB73CE" w:rsidRPr="00EB73CE" w:rsidRDefault="00EB73CE" w:rsidP="00EB73CE">
      <w:pPr>
        <w:spacing w:before="100" w:beforeAutospacing="1" w:after="100" w:afterAutospacing="1" w:line="240" w:lineRule="auto"/>
        <w:rPr>
          <w:rFonts w:ascii="Times New Roman" w:eastAsia="Times New Roman" w:hAnsi="Times New Roman" w:cs="Times New Roman"/>
          <w:sz w:val="24"/>
          <w:szCs w:val="24"/>
        </w:rPr>
      </w:pPr>
      <w:r w:rsidRPr="00EB73CE">
        <w:rPr>
          <w:rFonts w:ascii="Times New Roman" w:eastAsia="Times New Roman" w:hAnsi="Times New Roman" w:cs="Times New Roman"/>
          <w:sz w:val="24"/>
          <w:szCs w:val="24"/>
        </w:rPr>
        <w:t>In the current era of coronary intervention in the setting of an ageing population with high bleeding risk and multiple comorbidities, the subject of duration and type of antiplatelet therapy is a much discussed and debated topic.</w:t>
      </w:r>
    </w:p>
    <w:p w14:paraId="602A0BCE" w14:textId="77777777" w:rsidR="00EB73CE" w:rsidRPr="00EB73CE" w:rsidRDefault="00EB73CE" w:rsidP="00EB73CE">
      <w:pPr>
        <w:spacing w:before="100" w:beforeAutospacing="1" w:after="100" w:afterAutospacing="1" w:line="240" w:lineRule="auto"/>
        <w:rPr>
          <w:rFonts w:ascii="Times New Roman" w:eastAsia="Times New Roman" w:hAnsi="Times New Roman" w:cs="Times New Roman"/>
          <w:sz w:val="24"/>
          <w:szCs w:val="24"/>
        </w:rPr>
      </w:pPr>
      <w:r w:rsidRPr="00EB73CE">
        <w:rPr>
          <w:rFonts w:ascii="Times New Roman" w:eastAsia="Times New Roman" w:hAnsi="Times New Roman" w:cs="Times New Roman"/>
          <w:sz w:val="24"/>
          <w:szCs w:val="24"/>
        </w:rPr>
        <w:t xml:space="preserve">GLOBAL LEADERS has been designed to evaluate whether a 24-month antithrombotic regimen with </w:t>
      </w:r>
      <w:r w:rsidRPr="00EB73CE">
        <w:rPr>
          <w:rFonts w:ascii="Times New Roman" w:eastAsia="Times New Roman" w:hAnsi="Times New Roman" w:cs="Times New Roman"/>
          <w:b/>
          <w:bCs/>
          <w:sz w:val="24"/>
          <w:szCs w:val="24"/>
        </w:rPr>
        <w:t>Ticagrelor</w:t>
      </w:r>
      <w:r w:rsidRPr="00EB73CE">
        <w:rPr>
          <w:rFonts w:ascii="Times New Roman" w:eastAsia="Times New Roman" w:hAnsi="Times New Roman" w:cs="Times New Roman"/>
          <w:sz w:val="24"/>
          <w:szCs w:val="24"/>
        </w:rPr>
        <w:t xml:space="preserve"> and one month of acetylsalicylic acid (ASA), compared to conventional </w:t>
      </w:r>
      <w:r w:rsidRPr="00EB73CE">
        <w:rPr>
          <w:rFonts w:ascii="Times New Roman" w:eastAsia="Times New Roman" w:hAnsi="Times New Roman" w:cs="Times New Roman"/>
          <w:b/>
          <w:bCs/>
          <w:sz w:val="24"/>
          <w:szCs w:val="24"/>
        </w:rPr>
        <w:t>dual antiplatelet therapy (DAPT)</w:t>
      </w:r>
      <w:r w:rsidRPr="00EB73CE">
        <w:rPr>
          <w:rFonts w:ascii="Times New Roman" w:eastAsia="Times New Roman" w:hAnsi="Times New Roman" w:cs="Times New Roman"/>
          <w:sz w:val="24"/>
          <w:szCs w:val="24"/>
        </w:rPr>
        <w:t xml:space="preserve"> in patients undergoing percutaneous coronary intervention with a </w:t>
      </w:r>
      <w:proofErr w:type="spellStart"/>
      <w:r w:rsidRPr="00EB73CE">
        <w:rPr>
          <w:rFonts w:ascii="Times New Roman" w:eastAsia="Times New Roman" w:hAnsi="Times New Roman" w:cs="Times New Roman"/>
          <w:sz w:val="24"/>
          <w:szCs w:val="24"/>
        </w:rPr>
        <w:t>biolimus</w:t>
      </w:r>
      <w:proofErr w:type="spellEnd"/>
      <w:r w:rsidRPr="00EB73CE">
        <w:rPr>
          <w:rFonts w:ascii="Times New Roman" w:eastAsia="Times New Roman" w:hAnsi="Times New Roman" w:cs="Times New Roman"/>
          <w:sz w:val="24"/>
          <w:szCs w:val="24"/>
        </w:rPr>
        <w:t xml:space="preserve"> A9-eluting stent for stable coronary artery disease or acute coronary syndromes, improves outcomes. The primary outcome is a composite of all-cause mortality or non-fatal, new Q-wave myocardial infarction at 24 months. Patients (n=15,991) are </w:t>
      </w:r>
      <w:proofErr w:type="spellStart"/>
      <w:r w:rsidRPr="00EB73CE">
        <w:rPr>
          <w:rFonts w:ascii="Times New Roman" w:eastAsia="Times New Roman" w:hAnsi="Times New Roman" w:cs="Times New Roman"/>
          <w:sz w:val="24"/>
          <w:szCs w:val="24"/>
        </w:rPr>
        <w:t>randomised</w:t>
      </w:r>
      <w:proofErr w:type="spellEnd"/>
      <w:r w:rsidRPr="00EB73CE">
        <w:rPr>
          <w:rFonts w:ascii="Times New Roman" w:eastAsia="Times New Roman" w:hAnsi="Times New Roman" w:cs="Times New Roman"/>
          <w:sz w:val="24"/>
          <w:szCs w:val="24"/>
        </w:rPr>
        <w:t xml:space="preserve"> (1:1 ratio) to Ticagrelor 90 mg twice daily for 24 months plus ASA ≤100 mg for one month (Experimental arm) versus DAPT with either Ticagrelor (acute coronary syndrome) or Clopidogrel (</w:t>
      </w:r>
      <w:hyperlink r:id="rId6" w:tgtFrame="_self" w:tooltip="Stable CAD" w:history="1">
        <w:r w:rsidRPr="00EB73CE">
          <w:rPr>
            <w:rFonts w:ascii="Times New Roman" w:eastAsia="Times New Roman" w:hAnsi="Times New Roman" w:cs="Times New Roman"/>
            <w:color w:val="0000FF"/>
            <w:sz w:val="24"/>
            <w:szCs w:val="24"/>
            <w:u w:val="single"/>
          </w:rPr>
          <w:t>stable coronary artery disease</w:t>
        </w:r>
      </w:hyperlink>
      <w:r w:rsidRPr="00EB73CE">
        <w:rPr>
          <w:rFonts w:ascii="Times New Roman" w:eastAsia="Times New Roman" w:hAnsi="Times New Roman" w:cs="Times New Roman"/>
          <w:sz w:val="24"/>
          <w:szCs w:val="24"/>
        </w:rPr>
        <w:t>) for 12 months plus ASA ≤100 mg for 24 months (Reference arm). The key safety endpoint is investigator-reported class 3 or 5 bleeding according to the Bleeding Academic Research Consortium (BARC) definitions.</w:t>
      </w:r>
    </w:p>
    <w:p w14:paraId="4813BB6C" w14:textId="77777777" w:rsidR="00EB73CE" w:rsidRPr="00EB73CE" w:rsidRDefault="00EB73CE" w:rsidP="00EB73CE">
      <w:pPr>
        <w:spacing w:before="100" w:beforeAutospacing="1" w:after="100" w:afterAutospacing="1" w:line="240" w:lineRule="auto"/>
        <w:outlineLvl w:val="2"/>
        <w:rPr>
          <w:rFonts w:ascii="Times New Roman" w:eastAsia="Times New Roman" w:hAnsi="Times New Roman" w:cs="Times New Roman"/>
          <w:b/>
          <w:bCs/>
          <w:sz w:val="27"/>
          <w:szCs w:val="27"/>
        </w:rPr>
      </w:pPr>
      <w:r w:rsidRPr="00EB73CE">
        <w:rPr>
          <w:rFonts w:ascii="Times New Roman" w:eastAsia="Times New Roman" w:hAnsi="Times New Roman" w:cs="Times New Roman"/>
          <w:b/>
          <w:bCs/>
          <w:sz w:val="27"/>
          <w:szCs w:val="27"/>
        </w:rPr>
        <w:t>What were the results?</w:t>
      </w:r>
    </w:p>
    <w:p w14:paraId="3809F30E" w14:textId="77777777" w:rsidR="00EB73CE" w:rsidRPr="00EB73CE" w:rsidRDefault="00EB73CE" w:rsidP="00EB73CE">
      <w:pPr>
        <w:spacing w:before="100" w:beforeAutospacing="1" w:after="100" w:afterAutospacing="1" w:line="240" w:lineRule="auto"/>
        <w:rPr>
          <w:rFonts w:ascii="Times New Roman" w:eastAsia="Times New Roman" w:hAnsi="Times New Roman" w:cs="Times New Roman"/>
          <w:sz w:val="24"/>
          <w:szCs w:val="24"/>
        </w:rPr>
      </w:pPr>
      <w:r w:rsidRPr="00EB73CE">
        <w:rPr>
          <w:rFonts w:ascii="Times New Roman" w:eastAsia="Times New Roman" w:hAnsi="Times New Roman" w:cs="Times New Roman"/>
          <w:sz w:val="24"/>
          <w:szCs w:val="24"/>
        </w:rPr>
        <w:t xml:space="preserve">15,991 patients were </w:t>
      </w:r>
      <w:proofErr w:type="spellStart"/>
      <w:r w:rsidRPr="00EB73CE">
        <w:rPr>
          <w:rFonts w:ascii="Times New Roman" w:eastAsia="Times New Roman" w:hAnsi="Times New Roman" w:cs="Times New Roman"/>
          <w:sz w:val="24"/>
          <w:szCs w:val="24"/>
        </w:rPr>
        <w:t>randomised</w:t>
      </w:r>
      <w:proofErr w:type="spellEnd"/>
      <w:r w:rsidRPr="00EB73CE">
        <w:rPr>
          <w:rFonts w:ascii="Times New Roman" w:eastAsia="Times New Roman" w:hAnsi="Times New Roman" w:cs="Times New Roman"/>
          <w:sz w:val="24"/>
          <w:szCs w:val="24"/>
        </w:rPr>
        <w:t xml:space="preserve">. Mean age was 65-years of which 23% females. COPD was recorded in 5.1% of patients. Impaired renal function was present in 14% of patients. 53% of patients had stable CAD; 21% had </w:t>
      </w:r>
      <w:hyperlink r:id="rId7" w:tgtFrame="_self" w:tooltip="NSTEMI" w:history="1">
        <w:r w:rsidRPr="00EB73CE">
          <w:rPr>
            <w:rFonts w:ascii="Times New Roman" w:eastAsia="Times New Roman" w:hAnsi="Times New Roman" w:cs="Times New Roman"/>
            <w:color w:val="0000FF"/>
            <w:sz w:val="24"/>
            <w:szCs w:val="24"/>
            <w:u w:val="single"/>
          </w:rPr>
          <w:t>NSTEMI</w:t>
        </w:r>
      </w:hyperlink>
      <w:r w:rsidRPr="00EB73CE">
        <w:rPr>
          <w:rFonts w:ascii="Times New Roman" w:eastAsia="Times New Roman" w:hAnsi="Times New Roman" w:cs="Times New Roman"/>
          <w:sz w:val="24"/>
          <w:szCs w:val="24"/>
        </w:rPr>
        <w:t xml:space="preserve"> and 13% had </w:t>
      </w:r>
      <w:hyperlink r:id="rId8" w:tgtFrame="_self" w:tooltip="STEMI" w:history="1">
        <w:r w:rsidRPr="00EB73CE">
          <w:rPr>
            <w:rFonts w:ascii="Times New Roman" w:eastAsia="Times New Roman" w:hAnsi="Times New Roman" w:cs="Times New Roman"/>
            <w:color w:val="0000FF"/>
            <w:sz w:val="24"/>
            <w:szCs w:val="24"/>
            <w:u w:val="single"/>
          </w:rPr>
          <w:t>STEMI</w:t>
        </w:r>
      </w:hyperlink>
      <w:r w:rsidRPr="00EB73CE">
        <w:rPr>
          <w:rFonts w:ascii="Times New Roman" w:eastAsia="Times New Roman" w:hAnsi="Times New Roman" w:cs="Times New Roman"/>
          <w:sz w:val="24"/>
          <w:szCs w:val="24"/>
        </w:rPr>
        <w:t xml:space="preserve">. PCI was performed in 99.5% of patients. Radial access was performed in 74% of cases. Single vessel was treated in 75% of </w:t>
      </w:r>
      <w:r w:rsidRPr="00EB73CE">
        <w:rPr>
          <w:rFonts w:ascii="Times New Roman" w:eastAsia="Times New Roman" w:hAnsi="Times New Roman" w:cs="Times New Roman"/>
          <w:sz w:val="24"/>
          <w:szCs w:val="24"/>
        </w:rPr>
        <w:lastRenderedPageBreak/>
        <w:t xml:space="preserve">cases. At 1-year all-cause mortality or new Q-wave MI occurred in 1.95% in experimental arm vs. 2.47% in reference group (Risk ratio = 0.79, p=0.028) with no difference in all-cause mortality, </w:t>
      </w:r>
      <w:proofErr w:type="gramStart"/>
      <w:r w:rsidRPr="00EB73CE">
        <w:rPr>
          <w:rFonts w:ascii="Times New Roman" w:eastAsia="Times New Roman" w:hAnsi="Times New Roman" w:cs="Times New Roman"/>
          <w:sz w:val="24"/>
          <w:szCs w:val="24"/>
        </w:rPr>
        <w:t>non Q</w:t>
      </w:r>
      <w:proofErr w:type="gramEnd"/>
      <w:r w:rsidRPr="00EB73CE">
        <w:rPr>
          <w:rFonts w:ascii="Times New Roman" w:eastAsia="Times New Roman" w:hAnsi="Times New Roman" w:cs="Times New Roman"/>
          <w:sz w:val="24"/>
          <w:szCs w:val="24"/>
        </w:rPr>
        <w:t>-wave MI or any of the bleeding events. At 24-months adherence to therapy was observed in 78% in the experimental arm and 93% in the reference group. There was no difference in all-cause mortality or new Q-wave MI at 24-months (3.81% vs. 4.37%, Risk Ratio [RR] 0.87, p=0.073) with no difference in all-cause death (2.81% vs. 3.17%, RR 0.88, p=0.182) and BARC 3 or 5 bleeding (2.04% vs. 2.12%, RR 0.97, p=0.766).</w:t>
      </w:r>
    </w:p>
    <w:p w14:paraId="70BE2B3D" w14:textId="77777777" w:rsidR="00EB73CE" w:rsidRPr="00EB73CE" w:rsidRDefault="00EB73CE" w:rsidP="00EB73CE">
      <w:pPr>
        <w:spacing w:before="100" w:beforeAutospacing="1" w:after="100" w:afterAutospacing="1" w:line="240" w:lineRule="auto"/>
        <w:outlineLvl w:val="2"/>
        <w:rPr>
          <w:rFonts w:ascii="Times New Roman" w:eastAsia="Times New Roman" w:hAnsi="Times New Roman" w:cs="Times New Roman"/>
          <w:b/>
          <w:bCs/>
          <w:sz w:val="27"/>
          <w:szCs w:val="27"/>
        </w:rPr>
      </w:pPr>
      <w:r w:rsidRPr="00EB73CE">
        <w:rPr>
          <w:rFonts w:ascii="Times New Roman" w:eastAsia="Times New Roman" w:hAnsi="Times New Roman" w:cs="Times New Roman"/>
          <w:b/>
          <w:bCs/>
          <w:sz w:val="27"/>
          <w:szCs w:val="27"/>
        </w:rPr>
        <w:t xml:space="preserve">My take on GLOBAL LEADERS </w:t>
      </w:r>
    </w:p>
    <w:p w14:paraId="4A8DA41E" w14:textId="77777777" w:rsidR="00EB73CE" w:rsidRPr="00EB73CE" w:rsidRDefault="00EB73CE" w:rsidP="00EB73CE">
      <w:pPr>
        <w:spacing w:before="100" w:beforeAutospacing="1" w:after="100" w:afterAutospacing="1" w:line="240" w:lineRule="auto"/>
        <w:rPr>
          <w:rFonts w:ascii="Times New Roman" w:eastAsia="Times New Roman" w:hAnsi="Times New Roman" w:cs="Times New Roman"/>
          <w:sz w:val="24"/>
          <w:szCs w:val="24"/>
        </w:rPr>
      </w:pPr>
      <w:r w:rsidRPr="00EB73CE">
        <w:rPr>
          <w:rFonts w:ascii="Times New Roman" w:eastAsia="Times New Roman" w:hAnsi="Times New Roman" w:cs="Times New Roman"/>
          <w:sz w:val="24"/>
          <w:szCs w:val="24"/>
        </w:rPr>
        <w:t>Current standard of care for ACS patients and stent implantation is 12-months of DAPT followed by monotherapy with Aspirin. The authors concluded that GLOBAL LEADERS failed to show superiority of the experimental strategy (</w:t>
      </w:r>
      <w:proofErr w:type="gramStart"/>
      <w:r w:rsidRPr="00EB73CE">
        <w:rPr>
          <w:rFonts w:ascii="Times New Roman" w:eastAsia="Times New Roman" w:hAnsi="Times New Roman" w:cs="Times New Roman"/>
          <w:sz w:val="24"/>
          <w:szCs w:val="24"/>
        </w:rPr>
        <w:t>one month</w:t>
      </w:r>
      <w:proofErr w:type="gramEnd"/>
      <w:r w:rsidRPr="00EB73CE">
        <w:rPr>
          <w:rFonts w:ascii="Times New Roman" w:eastAsia="Times New Roman" w:hAnsi="Times New Roman" w:cs="Times New Roman"/>
          <w:sz w:val="24"/>
          <w:szCs w:val="24"/>
        </w:rPr>
        <w:t xml:space="preserve"> DAPT with Ticagrelor followed by Ticagrelor monotherapy up to 24-months) compared with standard of care (12-month DAPT followed by Aspirin monotherapy).</w:t>
      </w:r>
    </w:p>
    <w:p w14:paraId="36DDEE89" w14:textId="77777777" w:rsidR="00EB73CE" w:rsidRPr="00EB73CE" w:rsidRDefault="00EB73CE" w:rsidP="00EB73CE">
      <w:pPr>
        <w:spacing w:before="100" w:beforeAutospacing="1" w:after="100" w:afterAutospacing="1" w:line="240" w:lineRule="auto"/>
        <w:outlineLvl w:val="2"/>
        <w:rPr>
          <w:rFonts w:ascii="Times New Roman" w:eastAsia="Times New Roman" w:hAnsi="Times New Roman" w:cs="Times New Roman"/>
          <w:b/>
          <w:bCs/>
          <w:sz w:val="27"/>
          <w:szCs w:val="27"/>
        </w:rPr>
      </w:pPr>
      <w:r w:rsidRPr="00EB73CE">
        <w:rPr>
          <w:rFonts w:ascii="Times New Roman" w:eastAsia="Times New Roman" w:hAnsi="Times New Roman" w:cs="Times New Roman"/>
          <w:b/>
          <w:bCs/>
          <w:sz w:val="27"/>
          <w:szCs w:val="27"/>
        </w:rPr>
        <w:t>What other data we have so far?</w:t>
      </w:r>
    </w:p>
    <w:p w14:paraId="7B14DD3A" w14:textId="77777777" w:rsidR="00EB73CE" w:rsidRPr="00EB73CE" w:rsidRDefault="00EB73CE" w:rsidP="00EB73CE">
      <w:pPr>
        <w:spacing w:before="100" w:beforeAutospacing="1" w:after="100" w:afterAutospacing="1" w:line="240" w:lineRule="auto"/>
        <w:rPr>
          <w:rFonts w:ascii="Times New Roman" w:eastAsia="Times New Roman" w:hAnsi="Times New Roman" w:cs="Times New Roman"/>
          <w:sz w:val="24"/>
          <w:szCs w:val="24"/>
        </w:rPr>
      </w:pPr>
      <w:r w:rsidRPr="00EB73CE">
        <w:rPr>
          <w:rFonts w:ascii="Times New Roman" w:eastAsia="Times New Roman" w:hAnsi="Times New Roman" w:cs="Times New Roman"/>
          <w:sz w:val="24"/>
          <w:szCs w:val="24"/>
        </w:rPr>
        <w:t xml:space="preserve">In high bleeding risk patients, thus far we have SENIOR Trial (n=1200) and the Leaders Free Trial (n=2432) testing </w:t>
      </w:r>
      <w:r w:rsidRPr="00EB73CE">
        <w:rPr>
          <w:rFonts w:ascii="Times New Roman" w:eastAsia="Times New Roman" w:hAnsi="Times New Roman" w:cs="Times New Roman"/>
          <w:b/>
          <w:bCs/>
          <w:sz w:val="24"/>
          <w:szCs w:val="24"/>
        </w:rPr>
        <w:t>bare metal stent</w:t>
      </w:r>
      <w:r w:rsidRPr="00EB73CE">
        <w:rPr>
          <w:rFonts w:ascii="Times New Roman" w:eastAsia="Times New Roman" w:hAnsi="Times New Roman" w:cs="Times New Roman"/>
          <w:sz w:val="24"/>
          <w:szCs w:val="24"/>
        </w:rPr>
        <w:t xml:space="preserve"> (BMS) vs.</w:t>
      </w:r>
      <w:r w:rsidRPr="00EB73CE">
        <w:rPr>
          <w:rFonts w:ascii="Times New Roman" w:eastAsia="Times New Roman" w:hAnsi="Times New Roman" w:cs="Times New Roman"/>
          <w:b/>
          <w:bCs/>
          <w:sz w:val="24"/>
          <w:szCs w:val="24"/>
        </w:rPr>
        <w:t> drug-eluting stent</w:t>
      </w:r>
      <w:r w:rsidRPr="00EB73CE">
        <w:rPr>
          <w:rFonts w:ascii="Times New Roman" w:eastAsia="Times New Roman" w:hAnsi="Times New Roman" w:cs="Times New Roman"/>
          <w:sz w:val="24"/>
          <w:szCs w:val="24"/>
        </w:rPr>
        <w:t xml:space="preserve"> (DES) implantation and short duration of dual antiplatelet therapy (DAPT). Both studies showed benefit of DES over BMS with shorter duration of DAPT with respect to primary and safety efficacy endpoints. Another previous study SMART DATE with majority of patients using Clopidogrel showed that there might be an excess MI with shorter duration of DAPT.</w:t>
      </w:r>
    </w:p>
    <w:p w14:paraId="6A77E3A4" w14:textId="77777777" w:rsidR="00EB73CE" w:rsidRPr="00EB73CE" w:rsidRDefault="00EB73CE" w:rsidP="00EB73CE">
      <w:pPr>
        <w:spacing w:before="100" w:beforeAutospacing="1" w:after="100" w:afterAutospacing="1" w:line="240" w:lineRule="auto"/>
        <w:outlineLvl w:val="2"/>
        <w:rPr>
          <w:rFonts w:ascii="Times New Roman" w:eastAsia="Times New Roman" w:hAnsi="Times New Roman" w:cs="Times New Roman"/>
          <w:b/>
          <w:bCs/>
          <w:sz w:val="27"/>
          <w:szCs w:val="27"/>
        </w:rPr>
      </w:pPr>
      <w:r w:rsidRPr="00EB73CE">
        <w:rPr>
          <w:rFonts w:ascii="Times New Roman" w:eastAsia="Times New Roman" w:hAnsi="Times New Roman" w:cs="Times New Roman"/>
          <w:b/>
          <w:bCs/>
          <w:sz w:val="27"/>
          <w:szCs w:val="27"/>
        </w:rPr>
        <w:t>What next?</w:t>
      </w:r>
    </w:p>
    <w:p w14:paraId="1465083C" w14:textId="77777777" w:rsidR="00EB73CE" w:rsidRPr="00EB73CE" w:rsidRDefault="00EB73CE" w:rsidP="00EB73CE">
      <w:pPr>
        <w:spacing w:before="100" w:beforeAutospacing="1" w:after="100" w:afterAutospacing="1" w:line="240" w:lineRule="auto"/>
        <w:rPr>
          <w:rFonts w:ascii="Times New Roman" w:eastAsia="Times New Roman" w:hAnsi="Times New Roman" w:cs="Times New Roman"/>
          <w:sz w:val="24"/>
          <w:szCs w:val="24"/>
        </w:rPr>
      </w:pPr>
      <w:proofErr w:type="gramStart"/>
      <w:r w:rsidRPr="00EB73CE">
        <w:rPr>
          <w:rFonts w:ascii="Times New Roman" w:eastAsia="Times New Roman" w:hAnsi="Times New Roman" w:cs="Times New Roman"/>
          <w:sz w:val="24"/>
          <w:szCs w:val="24"/>
        </w:rPr>
        <w:t>Of course</w:t>
      </w:r>
      <w:proofErr w:type="gramEnd"/>
      <w:r w:rsidRPr="00EB73CE">
        <w:rPr>
          <w:rFonts w:ascii="Times New Roman" w:eastAsia="Times New Roman" w:hAnsi="Times New Roman" w:cs="Times New Roman"/>
          <w:sz w:val="24"/>
          <w:szCs w:val="24"/>
        </w:rPr>
        <w:t xml:space="preserve"> in interventional cardiology, things always don’t stop there! Several new studies are ongoing including TWILIGHT, DUALACS2 and several studies using the different stent platforms. We await the results of these important trials evaluating the duration and type of antiplatelet therapy! Till then it is acceptable to carry on with current guideline recommended therapy.</w:t>
      </w:r>
    </w:p>
    <w:p w14:paraId="02F9B0BB" w14:textId="77777777" w:rsidR="00EB73CE" w:rsidRPr="00EB73CE" w:rsidRDefault="00EB73CE" w:rsidP="00EB73CE">
      <w:pPr>
        <w:spacing w:before="100" w:beforeAutospacing="1" w:after="100" w:afterAutospacing="1" w:line="240" w:lineRule="auto"/>
        <w:outlineLvl w:val="3"/>
        <w:rPr>
          <w:rFonts w:ascii="Times New Roman" w:eastAsia="Times New Roman" w:hAnsi="Times New Roman" w:cs="Times New Roman"/>
          <w:b/>
          <w:bCs/>
          <w:sz w:val="24"/>
          <w:szCs w:val="24"/>
        </w:rPr>
      </w:pPr>
      <w:r w:rsidRPr="00EB73CE">
        <w:rPr>
          <w:rFonts w:ascii="Times New Roman" w:eastAsia="Times New Roman" w:hAnsi="Times New Roman" w:cs="Times New Roman"/>
          <w:b/>
          <w:bCs/>
          <w:sz w:val="24"/>
          <w:szCs w:val="24"/>
        </w:rPr>
        <w:t>Related links</w:t>
      </w:r>
    </w:p>
    <w:p w14:paraId="3FFD9B9F" w14:textId="77777777" w:rsidR="00EB73CE" w:rsidRPr="00EB73CE" w:rsidRDefault="00EB73CE" w:rsidP="00EB73CE">
      <w:pPr>
        <w:spacing w:before="100" w:beforeAutospacing="1" w:after="100" w:afterAutospacing="1" w:line="240" w:lineRule="auto"/>
        <w:rPr>
          <w:rFonts w:ascii="Times New Roman" w:eastAsia="Times New Roman" w:hAnsi="Times New Roman" w:cs="Times New Roman"/>
          <w:sz w:val="24"/>
          <w:szCs w:val="24"/>
        </w:rPr>
      </w:pPr>
      <w:r w:rsidRPr="00EB73CE">
        <w:rPr>
          <w:rFonts w:ascii="Times New Roman" w:eastAsia="Times New Roman" w:hAnsi="Times New Roman" w:cs="Times New Roman"/>
          <w:sz w:val="24"/>
          <w:szCs w:val="24"/>
        </w:rPr>
        <w:t xml:space="preserve">Read this interesting article in </w:t>
      </w:r>
      <w:proofErr w:type="spellStart"/>
      <w:r w:rsidRPr="00EB73CE">
        <w:rPr>
          <w:rFonts w:ascii="Times New Roman" w:eastAsia="Times New Roman" w:hAnsi="Times New Roman" w:cs="Times New Roman"/>
          <w:sz w:val="24"/>
          <w:szCs w:val="24"/>
        </w:rPr>
        <w:t>EuroIntervention</w:t>
      </w:r>
      <w:proofErr w:type="spellEnd"/>
      <w:r w:rsidRPr="00EB73CE">
        <w:rPr>
          <w:rFonts w:ascii="Times New Roman" w:eastAsia="Times New Roman" w:hAnsi="Times New Roman" w:cs="Times New Roman"/>
          <w:sz w:val="24"/>
          <w:szCs w:val="24"/>
        </w:rPr>
        <w:t xml:space="preserve"> on "</w:t>
      </w:r>
      <w:hyperlink r:id="rId9" w:tgtFrame="_blank" w:tooltip="Long-term ticagrelor monotherapy versus standard dual antiplatelet therapy followed by aspirin monotherapy in patients undergoing biolimus-eluting stent implantation: rationale and design of the GLOBAL LEADERS trial" w:history="1">
        <w:r w:rsidRPr="00EB73CE">
          <w:rPr>
            <w:rFonts w:ascii="Times New Roman" w:eastAsia="Times New Roman" w:hAnsi="Times New Roman" w:cs="Times New Roman"/>
            <w:color w:val="0000FF"/>
            <w:sz w:val="24"/>
            <w:szCs w:val="24"/>
            <w:u w:val="single"/>
          </w:rPr>
          <w:t xml:space="preserve">Long-term ticagrelor monotherapy versus standard dual antiplatelet therapy followed by aspirin monotherapy in patients undergoing </w:t>
        </w:r>
        <w:proofErr w:type="spellStart"/>
        <w:r w:rsidRPr="00EB73CE">
          <w:rPr>
            <w:rFonts w:ascii="Times New Roman" w:eastAsia="Times New Roman" w:hAnsi="Times New Roman" w:cs="Times New Roman"/>
            <w:color w:val="0000FF"/>
            <w:sz w:val="24"/>
            <w:szCs w:val="24"/>
            <w:u w:val="single"/>
          </w:rPr>
          <w:t>biolimus</w:t>
        </w:r>
        <w:proofErr w:type="spellEnd"/>
        <w:r w:rsidRPr="00EB73CE">
          <w:rPr>
            <w:rFonts w:ascii="Times New Roman" w:eastAsia="Times New Roman" w:hAnsi="Times New Roman" w:cs="Times New Roman"/>
            <w:color w:val="0000FF"/>
            <w:sz w:val="24"/>
            <w:szCs w:val="24"/>
            <w:u w:val="single"/>
          </w:rPr>
          <w:t>-eluting stent implantation: rationale and design of the GLOBAL LEADERS trial</w:t>
        </w:r>
      </w:hyperlink>
      <w:r w:rsidRPr="00EB73CE">
        <w:rPr>
          <w:rFonts w:ascii="Times New Roman" w:eastAsia="Times New Roman" w:hAnsi="Times New Roman" w:cs="Times New Roman"/>
          <w:sz w:val="24"/>
          <w:szCs w:val="24"/>
        </w:rPr>
        <w:t>" (</w:t>
      </w:r>
      <w:proofErr w:type="spellStart"/>
      <w:r w:rsidRPr="00EB73CE">
        <w:rPr>
          <w:rFonts w:ascii="Times New Roman" w:eastAsia="Times New Roman" w:hAnsi="Times New Roman" w:cs="Times New Roman"/>
          <w:sz w:val="24"/>
          <w:szCs w:val="24"/>
        </w:rPr>
        <w:t>EuroIntervention</w:t>
      </w:r>
      <w:proofErr w:type="spellEnd"/>
      <w:r w:rsidRPr="00EB73CE">
        <w:rPr>
          <w:rFonts w:ascii="Times New Roman" w:eastAsia="Times New Roman" w:hAnsi="Times New Roman" w:cs="Times New Roman"/>
          <w:sz w:val="24"/>
          <w:szCs w:val="24"/>
        </w:rPr>
        <w:t xml:space="preserve"> 2016;12:1239-1245)</w:t>
      </w:r>
    </w:p>
    <w:p w14:paraId="7F480A9C" w14:textId="77777777" w:rsidR="00EB73CE" w:rsidRPr="00EB73CE" w:rsidRDefault="00EB73CE" w:rsidP="00EB73CE">
      <w:pPr>
        <w:spacing w:before="100" w:beforeAutospacing="1" w:after="100" w:afterAutospacing="1" w:line="240" w:lineRule="auto"/>
        <w:rPr>
          <w:rFonts w:ascii="Times New Roman" w:eastAsia="Times New Roman" w:hAnsi="Times New Roman" w:cs="Times New Roman"/>
          <w:sz w:val="24"/>
          <w:szCs w:val="24"/>
        </w:rPr>
      </w:pPr>
      <w:hyperlink r:id="rId10" w:tgtFrame="_blank" w:tooltip="Ticagrelor plus aspirin for 1 month, followed by ticagrelor monotherapy for 23 months vs aspirin plus clopidogrel or ticagrelor for 12 months, followed by aspirin monotherapy for 12 months after implantation of a drug-eluting stent: a multicentre, open-label, randomised superiority trial" w:history="1">
        <w:r w:rsidRPr="00EB73CE">
          <w:rPr>
            <w:rFonts w:ascii="Times New Roman" w:eastAsia="Times New Roman" w:hAnsi="Times New Roman" w:cs="Times New Roman"/>
            <w:color w:val="0000FF"/>
            <w:sz w:val="24"/>
            <w:szCs w:val="24"/>
            <w:u w:val="single"/>
          </w:rPr>
          <w:t xml:space="preserve">Ticagrelor plus aspirin for 1 month, followed by ticagrelor monotherapy for 23 months </w:t>
        </w:r>
        <w:r w:rsidRPr="00EB73CE">
          <w:rPr>
            <w:rFonts w:ascii="Times New Roman" w:eastAsia="Times New Roman" w:hAnsi="Times New Roman" w:cs="Times New Roman"/>
            <w:i/>
            <w:iCs/>
            <w:color w:val="0000FF"/>
            <w:sz w:val="24"/>
            <w:szCs w:val="24"/>
            <w:u w:val="single"/>
          </w:rPr>
          <w:t>vs</w:t>
        </w:r>
        <w:r w:rsidRPr="00EB73CE">
          <w:rPr>
            <w:rFonts w:ascii="Times New Roman" w:eastAsia="Times New Roman" w:hAnsi="Times New Roman" w:cs="Times New Roman"/>
            <w:color w:val="0000FF"/>
            <w:sz w:val="24"/>
            <w:szCs w:val="24"/>
            <w:u w:val="single"/>
          </w:rPr>
          <w:t xml:space="preserve"> aspirin</w:t>
        </w:r>
      </w:hyperlink>
      <w:r w:rsidRPr="00EB73CE">
        <w:rPr>
          <w:rFonts w:ascii="Times New Roman" w:eastAsia="Times New Roman" w:hAnsi="Times New Roman" w:cs="Times New Roman"/>
          <w:sz w:val="24"/>
          <w:szCs w:val="24"/>
        </w:rPr>
        <w:t xml:space="preserve"> plus clopidogrel or ticagrelor for 12 months, followed by aspirin monotherapy for 12 months after implantation of a drug-eluting stent: a </w:t>
      </w:r>
      <w:proofErr w:type="spellStart"/>
      <w:r w:rsidRPr="00EB73CE">
        <w:rPr>
          <w:rFonts w:ascii="Times New Roman" w:eastAsia="Times New Roman" w:hAnsi="Times New Roman" w:cs="Times New Roman"/>
          <w:sz w:val="24"/>
          <w:szCs w:val="24"/>
        </w:rPr>
        <w:t>multicentre</w:t>
      </w:r>
      <w:proofErr w:type="spellEnd"/>
      <w:r w:rsidRPr="00EB73CE">
        <w:rPr>
          <w:rFonts w:ascii="Times New Roman" w:eastAsia="Times New Roman" w:hAnsi="Times New Roman" w:cs="Times New Roman"/>
          <w:sz w:val="24"/>
          <w:szCs w:val="24"/>
        </w:rPr>
        <w:t xml:space="preserve">, open-label, </w:t>
      </w:r>
      <w:proofErr w:type="spellStart"/>
      <w:r w:rsidRPr="00EB73CE">
        <w:rPr>
          <w:rFonts w:ascii="Times New Roman" w:eastAsia="Times New Roman" w:hAnsi="Times New Roman" w:cs="Times New Roman"/>
          <w:sz w:val="24"/>
          <w:szCs w:val="24"/>
        </w:rPr>
        <w:t>randomised</w:t>
      </w:r>
      <w:proofErr w:type="spellEnd"/>
      <w:r w:rsidRPr="00EB73CE">
        <w:rPr>
          <w:rFonts w:ascii="Times New Roman" w:eastAsia="Times New Roman" w:hAnsi="Times New Roman" w:cs="Times New Roman"/>
          <w:sz w:val="24"/>
          <w:szCs w:val="24"/>
        </w:rPr>
        <w:t xml:space="preserve"> superiority trial (The Lancet 2018; 10.1016/S0140-6736(18)31858-0)</w:t>
      </w:r>
    </w:p>
    <w:p w14:paraId="09CC1071" w14:textId="77777777" w:rsidR="006B594B" w:rsidRDefault="006B594B">
      <w:bookmarkStart w:id="0" w:name="_GoBack"/>
      <w:bookmarkEnd w:id="0"/>
    </w:p>
    <w:sectPr w:rsidR="006B59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3CE"/>
    <w:rsid w:val="006B594B"/>
    <w:rsid w:val="00EB73CE"/>
    <w:rsid w:val="00F524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BDBB9"/>
  <w15:chartTrackingRefBased/>
  <w15:docId w15:val="{596BF577-892D-4E3D-89A9-86EA2CC40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4069785">
      <w:bodyDiv w:val="1"/>
      <w:marLeft w:val="0"/>
      <w:marRight w:val="0"/>
      <w:marTop w:val="0"/>
      <w:marBottom w:val="0"/>
      <w:divBdr>
        <w:top w:val="none" w:sz="0" w:space="0" w:color="auto"/>
        <w:left w:val="none" w:sz="0" w:space="0" w:color="auto"/>
        <w:bottom w:val="none" w:sz="0" w:space="0" w:color="auto"/>
        <w:right w:val="none" w:sz="0" w:space="0" w:color="auto"/>
      </w:divBdr>
      <w:divsChild>
        <w:div w:id="223880819">
          <w:marLeft w:val="0"/>
          <w:marRight w:val="0"/>
          <w:marTop w:val="0"/>
          <w:marBottom w:val="0"/>
          <w:divBdr>
            <w:top w:val="none" w:sz="0" w:space="0" w:color="auto"/>
            <w:left w:val="none" w:sz="0" w:space="0" w:color="auto"/>
            <w:bottom w:val="none" w:sz="0" w:space="0" w:color="auto"/>
            <w:right w:val="none" w:sz="0" w:space="0" w:color="auto"/>
          </w:divBdr>
          <w:divsChild>
            <w:div w:id="733818396">
              <w:marLeft w:val="0"/>
              <w:marRight w:val="0"/>
              <w:marTop w:val="0"/>
              <w:marBottom w:val="0"/>
              <w:divBdr>
                <w:top w:val="none" w:sz="0" w:space="0" w:color="auto"/>
                <w:left w:val="none" w:sz="0" w:space="0" w:color="auto"/>
                <w:bottom w:val="none" w:sz="0" w:space="0" w:color="auto"/>
                <w:right w:val="none" w:sz="0" w:space="0" w:color="auto"/>
              </w:divBdr>
              <w:divsChild>
                <w:div w:id="135013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9516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cronline.com/Topics/Coronary-interventions/STEMI" TargetMode="External"/><Relationship Id="rId3" Type="http://schemas.openxmlformats.org/officeDocument/2006/relationships/webSettings" Target="webSettings.xml"/><Relationship Id="rId7" Type="http://schemas.openxmlformats.org/officeDocument/2006/relationships/hyperlink" Target="https://www.pcronline.com/Topics/Coronary-interventions/NSTEMI"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cronline.com/Topics/Coronary-interventions/Stable-CAD" TargetMode="External"/><Relationship Id="rId11" Type="http://schemas.openxmlformats.org/officeDocument/2006/relationships/fontTable" Target="fontTable.xml"/><Relationship Id="rId5" Type="http://schemas.openxmlformats.org/officeDocument/2006/relationships/hyperlink" Target="https://www.pcronline.com/Physicians/Patrick-W.-Serruys" TargetMode="External"/><Relationship Id="rId10" Type="http://schemas.openxmlformats.org/officeDocument/2006/relationships/hyperlink" Target="https://www.thelancet.com/journals/lancet/article/PIIS0140-6736(18)31858-0/fulltext" TargetMode="External"/><Relationship Id="rId4" Type="http://schemas.openxmlformats.org/officeDocument/2006/relationships/hyperlink" Target="https://www.escardio.org/Congresses-&amp;-Events/ESC-Congress" TargetMode="External"/><Relationship Id="rId9" Type="http://schemas.openxmlformats.org/officeDocument/2006/relationships/hyperlink" Target="https://www.pcronline.com/eurointervention/107th_issue/volume-12/number-10/204/long-term-ticagrelor-monotherapy-versus-standard-dual-antiplatelet-therapy-followed-by-aspirin-monotherapy-in-patients-undergoing-biolimus-eluting-stent-implantation-rationale-and-design-of-the-global-leaders-trial.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944</Words>
  <Characters>5384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dc:creator>
  <cp:keywords/>
  <dc:description/>
  <cp:lastModifiedBy>Maryam</cp:lastModifiedBy>
  <cp:revision>1</cp:revision>
  <dcterms:created xsi:type="dcterms:W3CDTF">2018-08-31T20:13:00Z</dcterms:created>
  <dcterms:modified xsi:type="dcterms:W3CDTF">2018-08-31T20:14:00Z</dcterms:modified>
</cp:coreProperties>
</file>