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1897D1" w14:textId="77777777" w:rsidR="00A4376F" w:rsidRPr="00A4376F" w:rsidRDefault="00A4376F" w:rsidP="00A4376F">
      <w:pPr>
        <w:spacing w:before="100" w:beforeAutospacing="1" w:after="100" w:afterAutospacing="1" w:line="240" w:lineRule="auto"/>
        <w:outlineLvl w:val="0"/>
        <w:rPr>
          <w:rFonts w:ascii="Times New Roman" w:eastAsia="Times New Roman" w:hAnsi="Times New Roman" w:cs="Times New Roman"/>
          <w:b/>
          <w:bCs/>
          <w:kern w:val="36"/>
          <w:sz w:val="48"/>
          <w:szCs w:val="48"/>
        </w:rPr>
      </w:pPr>
      <w:bookmarkStart w:id="0" w:name="_GoBack"/>
      <w:r w:rsidRPr="00A4376F">
        <w:rPr>
          <w:rFonts w:ascii="Times New Roman" w:eastAsia="Times New Roman" w:hAnsi="Times New Roman" w:cs="Times New Roman"/>
          <w:b/>
          <w:bCs/>
          <w:kern w:val="36"/>
          <w:sz w:val="48"/>
          <w:szCs w:val="48"/>
        </w:rPr>
        <w:t xml:space="preserve">Dual Antiplatelet Therapy and ASA Allergy: </w:t>
      </w:r>
      <w:bookmarkEnd w:id="0"/>
      <w:r w:rsidRPr="00A4376F">
        <w:rPr>
          <w:rFonts w:ascii="Times New Roman" w:eastAsia="Times New Roman" w:hAnsi="Times New Roman" w:cs="Times New Roman"/>
          <w:b/>
          <w:bCs/>
          <w:kern w:val="36"/>
          <w:sz w:val="48"/>
          <w:szCs w:val="48"/>
        </w:rPr>
        <w:t>What Do You Do?</w:t>
      </w:r>
    </w:p>
    <w:p w14:paraId="1984EAF8" w14:textId="77777777" w:rsidR="00A4376F" w:rsidRPr="00A4376F" w:rsidRDefault="00A4376F" w:rsidP="00A4376F">
      <w:pPr>
        <w:spacing w:before="100" w:beforeAutospacing="1" w:after="100" w:afterAutospacing="1" w:line="240" w:lineRule="auto"/>
        <w:rPr>
          <w:rFonts w:ascii="Times New Roman" w:eastAsia="Times New Roman" w:hAnsi="Times New Roman" w:cs="Times New Roman"/>
          <w:sz w:val="24"/>
          <w:szCs w:val="24"/>
        </w:rPr>
      </w:pPr>
      <w:r w:rsidRPr="00A4376F">
        <w:rPr>
          <w:rFonts w:ascii="Times New Roman" w:eastAsia="Times New Roman" w:hAnsi="Times New Roman" w:cs="Times New Roman"/>
          <w:sz w:val="24"/>
          <w:szCs w:val="24"/>
        </w:rPr>
        <w:t>Laura S. Lehman, PharmD</w:t>
      </w:r>
    </w:p>
    <w:p w14:paraId="1B36EEDC" w14:textId="77777777" w:rsidR="00A4376F" w:rsidRPr="00A4376F" w:rsidRDefault="00A4376F" w:rsidP="00A4376F">
      <w:pPr>
        <w:spacing w:after="0" w:line="240" w:lineRule="auto"/>
        <w:rPr>
          <w:rFonts w:ascii="Times New Roman" w:eastAsia="Times New Roman" w:hAnsi="Times New Roman" w:cs="Times New Roman"/>
          <w:sz w:val="24"/>
          <w:szCs w:val="24"/>
        </w:rPr>
      </w:pPr>
      <w:hyperlink r:id="rId5" w:history="1">
        <w:r w:rsidRPr="00A4376F">
          <w:rPr>
            <w:rFonts w:ascii="Times New Roman" w:eastAsia="Times New Roman" w:hAnsi="Times New Roman" w:cs="Times New Roman"/>
            <w:color w:val="0000FF"/>
            <w:sz w:val="24"/>
            <w:szCs w:val="24"/>
            <w:u w:val="single"/>
          </w:rPr>
          <w:t>Disclosures</w:t>
        </w:r>
      </w:hyperlink>
      <w:r w:rsidRPr="00A4376F">
        <w:rPr>
          <w:rFonts w:ascii="Times New Roman" w:eastAsia="Times New Roman" w:hAnsi="Times New Roman" w:cs="Times New Roman"/>
          <w:sz w:val="24"/>
          <w:szCs w:val="24"/>
        </w:rPr>
        <w:t xml:space="preserve"> </w:t>
      </w:r>
    </w:p>
    <w:p w14:paraId="25761B55" w14:textId="77777777" w:rsidR="00A4376F" w:rsidRPr="00A4376F" w:rsidRDefault="00A4376F" w:rsidP="00A4376F">
      <w:pPr>
        <w:spacing w:before="100" w:beforeAutospacing="1" w:after="100" w:afterAutospacing="1" w:line="240" w:lineRule="auto"/>
        <w:rPr>
          <w:rFonts w:ascii="Times New Roman" w:eastAsia="Times New Roman" w:hAnsi="Times New Roman" w:cs="Times New Roman"/>
          <w:sz w:val="24"/>
          <w:szCs w:val="24"/>
        </w:rPr>
      </w:pPr>
      <w:r w:rsidRPr="00A4376F">
        <w:rPr>
          <w:rFonts w:ascii="Times New Roman" w:eastAsia="Times New Roman" w:hAnsi="Times New Roman" w:cs="Times New Roman"/>
          <w:sz w:val="24"/>
          <w:szCs w:val="24"/>
        </w:rPr>
        <w:t>October 04, 2013</w:t>
      </w:r>
    </w:p>
    <w:p w14:paraId="3F034234" w14:textId="77777777" w:rsidR="00A4376F" w:rsidRPr="00A4376F" w:rsidRDefault="00A4376F" w:rsidP="00A4376F">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6" w:history="1">
        <w:r w:rsidRPr="00A4376F">
          <w:rPr>
            <w:rFonts w:ascii="Times New Roman" w:eastAsia="Times New Roman" w:hAnsi="Times New Roman" w:cs="Times New Roman"/>
            <w:color w:val="0000FF"/>
            <w:sz w:val="24"/>
            <w:szCs w:val="24"/>
            <w:u w:val="single"/>
          </w:rPr>
          <w:t>10Read Comments</w:t>
        </w:r>
      </w:hyperlink>
    </w:p>
    <w:p w14:paraId="7B0F92D0" w14:textId="77777777" w:rsidR="00A4376F" w:rsidRPr="00A4376F" w:rsidRDefault="00A4376F" w:rsidP="00A4376F">
      <w:pPr>
        <w:numPr>
          <w:ilvl w:val="0"/>
          <w:numId w:val="1"/>
        </w:numPr>
        <w:spacing w:before="100" w:beforeAutospacing="1" w:after="100" w:afterAutospacing="1" w:line="240" w:lineRule="auto"/>
        <w:ind w:left="1440"/>
        <w:rPr>
          <w:rFonts w:ascii="Times New Roman" w:eastAsia="Times New Roman" w:hAnsi="Times New Roman" w:cs="Times New Roman"/>
          <w:sz w:val="24"/>
          <w:szCs w:val="24"/>
        </w:rPr>
      </w:pPr>
    </w:p>
    <w:p w14:paraId="1F80322C" w14:textId="77777777" w:rsidR="00A4376F" w:rsidRPr="00A4376F" w:rsidRDefault="00A4376F" w:rsidP="00A4376F">
      <w:pPr>
        <w:numPr>
          <w:ilvl w:val="1"/>
          <w:numId w:val="1"/>
        </w:numPr>
        <w:spacing w:before="100" w:beforeAutospacing="1" w:after="100" w:afterAutospacing="1" w:line="240" w:lineRule="auto"/>
        <w:rPr>
          <w:rFonts w:ascii="Times New Roman" w:eastAsia="Times New Roman" w:hAnsi="Times New Roman" w:cs="Times New Roman"/>
          <w:sz w:val="24"/>
          <w:szCs w:val="24"/>
        </w:rPr>
      </w:pPr>
    </w:p>
    <w:p w14:paraId="14117829" w14:textId="77777777" w:rsidR="00A4376F" w:rsidRPr="00A4376F" w:rsidRDefault="00A4376F" w:rsidP="00A4376F">
      <w:pPr>
        <w:numPr>
          <w:ilvl w:val="1"/>
          <w:numId w:val="1"/>
        </w:numPr>
        <w:spacing w:before="100" w:beforeAutospacing="1" w:after="100" w:afterAutospacing="1" w:line="240" w:lineRule="auto"/>
        <w:rPr>
          <w:rFonts w:ascii="Times New Roman" w:eastAsia="Times New Roman" w:hAnsi="Times New Roman" w:cs="Times New Roman"/>
          <w:sz w:val="24"/>
          <w:szCs w:val="24"/>
        </w:rPr>
      </w:pPr>
    </w:p>
    <w:p w14:paraId="7D3B7CE1" w14:textId="77777777" w:rsidR="00A4376F" w:rsidRPr="00A4376F" w:rsidRDefault="00A4376F" w:rsidP="00A4376F">
      <w:pPr>
        <w:numPr>
          <w:ilvl w:val="1"/>
          <w:numId w:val="1"/>
        </w:numPr>
        <w:spacing w:before="100" w:beforeAutospacing="1" w:after="100" w:afterAutospacing="1" w:line="240" w:lineRule="auto"/>
        <w:rPr>
          <w:rFonts w:ascii="Times New Roman" w:eastAsia="Times New Roman" w:hAnsi="Times New Roman" w:cs="Times New Roman"/>
          <w:sz w:val="24"/>
          <w:szCs w:val="24"/>
        </w:rPr>
      </w:pPr>
    </w:p>
    <w:p w14:paraId="6E32C895" w14:textId="77777777" w:rsidR="00A4376F" w:rsidRPr="00A4376F" w:rsidRDefault="00A4376F" w:rsidP="00A4376F">
      <w:pPr>
        <w:numPr>
          <w:ilvl w:val="1"/>
          <w:numId w:val="1"/>
        </w:numPr>
        <w:spacing w:before="100" w:beforeAutospacing="1" w:after="100" w:afterAutospacing="1" w:line="240" w:lineRule="auto"/>
        <w:rPr>
          <w:rFonts w:ascii="Times New Roman" w:eastAsia="Times New Roman" w:hAnsi="Times New Roman" w:cs="Times New Roman"/>
          <w:sz w:val="24"/>
          <w:szCs w:val="24"/>
        </w:rPr>
      </w:pPr>
    </w:p>
    <w:p w14:paraId="2D45FE48" w14:textId="77777777" w:rsidR="00A4376F" w:rsidRPr="00A4376F" w:rsidRDefault="00A4376F" w:rsidP="00A4376F">
      <w:pPr>
        <w:numPr>
          <w:ilvl w:val="0"/>
          <w:numId w:val="1"/>
        </w:numPr>
        <w:spacing w:before="100" w:beforeAutospacing="1" w:after="100" w:afterAutospacing="1" w:line="240" w:lineRule="auto"/>
        <w:rPr>
          <w:rFonts w:ascii="Times New Roman" w:eastAsia="Times New Roman" w:hAnsi="Times New Roman" w:cs="Times New Roman"/>
          <w:sz w:val="24"/>
          <w:szCs w:val="24"/>
        </w:rPr>
      </w:pPr>
    </w:p>
    <w:p w14:paraId="7138D743" w14:textId="77777777" w:rsidR="00A4376F" w:rsidRPr="00A4376F" w:rsidRDefault="00A4376F" w:rsidP="00A4376F">
      <w:pPr>
        <w:numPr>
          <w:ilvl w:val="0"/>
          <w:numId w:val="1"/>
        </w:numPr>
        <w:spacing w:before="100" w:beforeAutospacing="1" w:after="100" w:afterAutospacing="1" w:line="240" w:lineRule="auto"/>
        <w:rPr>
          <w:rFonts w:ascii="Times New Roman" w:eastAsia="Times New Roman" w:hAnsi="Times New Roman" w:cs="Times New Roman"/>
          <w:sz w:val="24"/>
          <w:szCs w:val="24"/>
        </w:rPr>
      </w:pPr>
    </w:p>
    <w:p w14:paraId="2CA70DA4" w14:textId="77777777" w:rsidR="00A4376F" w:rsidRPr="00A4376F" w:rsidRDefault="00A4376F" w:rsidP="00A4376F">
      <w:pPr>
        <w:spacing w:before="100" w:beforeAutospacing="1" w:after="100" w:afterAutospacing="1" w:line="240" w:lineRule="auto"/>
        <w:outlineLvl w:val="2"/>
        <w:rPr>
          <w:rFonts w:ascii="Times New Roman" w:eastAsia="Times New Roman" w:hAnsi="Times New Roman" w:cs="Times New Roman"/>
          <w:b/>
          <w:bCs/>
          <w:sz w:val="27"/>
          <w:szCs w:val="27"/>
        </w:rPr>
      </w:pPr>
      <w:r w:rsidRPr="00A4376F">
        <w:rPr>
          <w:rFonts w:ascii="Times New Roman" w:eastAsia="Times New Roman" w:hAnsi="Times New Roman" w:cs="Times New Roman"/>
          <w:b/>
          <w:bCs/>
          <w:sz w:val="27"/>
          <w:szCs w:val="27"/>
        </w:rPr>
        <w:t xml:space="preserve">Question </w:t>
      </w:r>
    </w:p>
    <w:p w14:paraId="1FC3206D" w14:textId="77777777" w:rsidR="00A4376F" w:rsidRPr="00A4376F" w:rsidRDefault="00A4376F" w:rsidP="00A4376F">
      <w:pPr>
        <w:spacing w:before="100" w:beforeAutospacing="1" w:after="100" w:afterAutospacing="1" w:line="240" w:lineRule="auto"/>
        <w:rPr>
          <w:rFonts w:ascii="Times New Roman" w:eastAsia="Times New Roman" w:hAnsi="Times New Roman" w:cs="Times New Roman"/>
          <w:sz w:val="24"/>
          <w:szCs w:val="24"/>
        </w:rPr>
      </w:pPr>
      <w:r w:rsidRPr="00A4376F">
        <w:rPr>
          <w:rFonts w:ascii="Times New Roman" w:eastAsia="Times New Roman" w:hAnsi="Times New Roman" w:cs="Times New Roman"/>
          <w:sz w:val="24"/>
          <w:szCs w:val="24"/>
        </w:rPr>
        <w:t>How do you manage a patient with acute coronary syndrome who requires dual antiplatelet therapy but has an aspirin allergy?</w:t>
      </w:r>
    </w:p>
    <w:tbl>
      <w:tblPr>
        <w:tblW w:w="0" w:type="auto"/>
        <w:tblCellSpacing w:w="5" w:type="dxa"/>
        <w:tblCellMar>
          <w:top w:w="30" w:type="dxa"/>
          <w:left w:w="30" w:type="dxa"/>
          <w:bottom w:w="30" w:type="dxa"/>
          <w:right w:w="30" w:type="dxa"/>
        </w:tblCellMar>
        <w:tblLook w:val="04A0" w:firstRow="1" w:lastRow="0" w:firstColumn="1" w:lastColumn="0" w:noHBand="0" w:noVBand="1"/>
      </w:tblPr>
      <w:tblGrid>
        <w:gridCol w:w="1515"/>
        <w:gridCol w:w="7834"/>
      </w:tblGrid>
      <w:tr w:rsidR="00A4376F" w:rsidRPr="00A4376F" w14:paraId="11588379" w14:textId="77777777" w:rsidTr="00A4376F">
        <w:trPr>
          <w:tblCellSpacing w:w="5" w:type="dxa"/>
        </w:trPr>
        <w:tc>
          <w:tcPr>
            <w:tcW w:w="0" w:type="auto"/>
            <w:hideMark/>
          </w:tcPr>
          <w:p w14:paraId="1BBFB2E4" w14:textId="77777777" w:rsidR="00A4376F" w:rsidRPr="00A4376F" w:rsidRDefault="00A4376F" w:rsidP="00A4376F">
            <w:pPr>
              <w:spacing w:after="0" w:line="240" w:lineRule="auto"/>
              <w:rPr>
                <w:rFonts w:ascii="Times New Roman" w:eastAsia="Times New Roman" w:hAnsi="Times New Roman" w:cs="Times New Roman"/>
                <w:sz w:val="24"/>
                <w:szCs w:val="24"/>
              </w:rPr>
            </w:pPr>
            <w:r w:rsidRPr="00A4376F">
              <w:rPr>
                <w:rFonts w:ascii="Times New Roman" w:eastAsia="Times New Roman" w:hAnsi="Times New Roman" w:cs="Times New Roman"/>
                <w:noProof/>
                <w:sz w:val="24"/>
                <w:szCs w:val="24"/>
              </w:rPr>
              <w:drawing>
                <wp:inline distT="0" distB="0" distL="0" distR="0" wp14:anchorId="1EB4F54B" wp14:editId="1F32FCAA">
                  <wp:extent cx="914400" cy="1047750"/>
                  <wp:effectExtent l="0" t="0" r="0" b="0"/>
                  <wp:docPr id="4" name="Picture 3" descr="https://img.medscapestatic.com/person/lehman_laura.jpg?interpolation=lanczos-none&amp;resize=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mg.medscapestatic.com/person/lehman_laura.jpg?interpolation=lanczos-none&amp;resize=9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p>
        </w:tc>
        <w:tc>
          <w:tcPr>
            <w:tcW w:w="0" w:type="auto"/>
            <w:hideMark/>
          </w:tcPr>
          <w:p w14:paraId="243E9EA2" w14:textId="77777777" w:rsidR="00A4376F" w:rsidRPr="00A4376F" w:rsidRDefault="00A4376F" w:rsidP="00A4376F">
            <w:pPr>
              <w:spacing w:after="0" w:line="240" w:lineRule="auto"/>
              <w:rPr>
                <w:rFonts w:ascii="Times New Roman" w:eastAsia="Times New Roman" w:hAnsi="Times New Roman" w:cs="Times New Roman"/>
                <w:sz w:val="24"/>
                <w:szCs w:val="24"/>
              </w:rPr>
            </w:pPr>
            <w:r w:rsidRPr="00A4376F">
              <w:rPr>
                <w:rFonts w:ascii="Times New Roman" w:eastAsia="Times New Roman" w:hAnsi="Times New Roman" w:cs="Times New Roman"/>
                <w:b/>
                <w:bCs/>
                <w:sz w:val="24"/>
                <w:szCs w:val="24"/>
              </w:rPr>
              <w:t>Response from Laura S. Lehman, PharmD</w:t>
            </w:r>
            <w:r w:rsidRPr="00A4376F">
              <w:rPr>
                <w:rFonts w:ascii="Times New Roman" w:eastAsia="Times New Roman" w:hAnsi="Times New Roman" w:cs="Times New Roman"/>
                <w:sz w:val="24"/>
                <w:szCs w:val="24"/>
              </w:rPr>
              <w:t xml:space="preserve"> </w:t>
            </w:r>
            <w:r w:rsidRPr="00A4376F">
              <w:rPr>
                <w:rFonts w:ascii="Times New Roman" w:eastAsia="Times New Roman" w:hAnsi="Times New Roman" w:cs="Times New Roman"/>
                <w:sz w:val="24"/>
                <w:szCs w:val="24"/>
              </w:rPr>
              <w:br/>
              <w:t>Clinical Pharmacy Coordinator, Carroll Hospital Center, Westminster, Maryland</w:t>
            </w:r>
          </w:p>
        </w:tc>
      </w:tr>
    </w:tbl>
    <w:p w14:paraId="0BB86B8A" w14:textId="77777777" w:rsidR="00A4376F" w:rsidRPr="00A4376F" w:rsidRDefault="00A4376F" w:rsidP="00A4376F">
      <w:pPr>
        <w:spacing w:before="100" w:beforeAutospacing="1" w:after="100" w:afterAutospacing="1" w:line="240" w:lineRule="auto"/>
        <w:rPr>
          <w:rFonts w:ascii="Times New Roman" w:eastAsia="Times New Roman" w:hAnsi="Times New Roman" w:cs="Times New Roman"/>
          <w:sz w:val="24"/>
          <w:szCs w:val="24"/>
        </w:rPr>
      </w:pPr>
      <w:r w:rsidRPr="00A4376F">
        <w:rPr>
          <w:rFonts w:ascii="Times New Roman" w:eastAsia="Times New Roman" w:hAnsi="Times New Roman" w:cs="Times New Roman"/>
          <w:sz w:val="24"/>
          <w:szCs w:val="24"/>
        </w:rPr>
        <w:t>Dual antiplatelet regimens are a mainstay in the management of acute coronary syndrome and typically consist of aspirin combined with a P2Y</w:t>
      </w:r>
      <w:r w:rsidRPr="00A4376F">
        <w:rPr>
          <w:rFonts w:ascii="Times New Roman" w:eastAsia="Times New Roman" w:hAnsi="Times New Roman" w:cs="Times New Roman"/>
          <w:sz w:val="24"/>
          <w:szCs w:val="24"/>
          <w:vertAlign w:val="subscript"/>
        </w:rPr>
        <w:t>12</w:t>
      </w:r>
      <w:r w:rsidRPr="00A4376F">
        <w:rPr>
          <w:rFonts w:ascii="Times New Roman" w:eastAsia="Times New Roman" w:hAnsi="Times New Roman" w:cs="Times New Roman"/>
          <w:sz w:val="24"/>
          <w:szCs w:val="24"/>
        </w:rPr>
        <w:t xml:space="preserve"> receptor inhibitor (</w:t>
      </w:r>
      <w:proofErr w:type="spellStart"/>
      <w:r w:rsidRPr="00A4376F">
        <w:rPr>
          <w:rFonts w:ascii="Times New Roman" w:eastAsia="Times New Roman" w:hAnsi="Times New Roman" w:cs="Times New Roman"/>
          <w:sz w:val="24"/>
          <w:szCs w:val="24"/>
        </w:rPr>
        <w:t>eg</w:t>
      </w:r>
      <w:proofErr w:type="spellEnd"/>
      <w:r w:rsidRPr="00A4376F">
        <w:rPr>
          <w:rFonts w:ascii="Times New Roman" w:eastAsia="Times New Roman" w:hAnsi="Times New Roman" w:cs="Times New Roman"/>
          <w:sz w:val="24"/>
          <w:szCs w:val="24"/>
        </w:rPr>
        <w:t>, clopidogrel, prasugrel, ticagrelor) or a glycoprotein IIb/IIIa inhibitor (</w:t>
      </w:r>
      <w:proofErr w:type="spellStart"/>
      <w:r w:rsidRPr="00A4376F">
        <w:rPr>
          <w:rFonts w:ascii="Times New Roman" w:eastAsia="Times New Roman" w:hAnsi="Times New Roman" w:cs="Times New Roman"/>
          <w:sz w:val="24"/>
          <w:szCs w:val="24"/>
        </w:rPr>
        <w:t>eg</w:t>
      </w:r>
      <w:proofErr w:type="spellEnd"/>
      <w:r w:rsidRPr="00A4376F">
        <w:rPr>
          <w:rFonts w:ascii="Times New Roman" w:eastAsia="Times New Roman" w:hAnsi="Times New Roman" w:cs="Times New Roman"/>
          <w:sz w:val="24"/>
          <w:szCs w:val="24"/>
        </w:rPr>
        <w:t>, abciximab, eptifibatide, tirofiban) before and during percutaneous coronary intervention (PCI).</w:t>
      </w:r>
      <w:r w:rsidRPr="00A4376F">
        <w:rPr>
          <w:rFonts w:ascii="Times New Roman" w:eastAsia="Times New Roman" w:hAnsi="Times New Roman" w:cs="Times New Roman"/>
          <w:sz w:val="24"/>
          <w:szCs w:val="24"/>
          <w:vertAlign w:val="superscript"/>
        </w:rPr>
        <w:t>[</w:t>
      </w:r>
      <w:hyperlink r:id="rId8" w:history="1">
        <w:r w:rsidRPr="00A4376F">
          <w:rPr>
            <w:rFonts w:ascii="Times New Roman" w:eastAsia="Times New Roman" w:hAnsi="Times New Roman" w:cs="Times New Roman"/>
            <w:color w:val="0000FF"/>
            <w:sz w:val="24"/>
            <w:szCs w:val="24"/>
            <w:u w:val="single"/>
            <w:vertAlign w:val="superscript"/>
          </w:rPr>
          <w:t>1</w:t>
        </w:r>
      </w:hyperlink>
      <w:r w:rsidRPr="00A4376F">
        <w:rPr>
          <w:rFonts w:ascii="Times New Roman" w:eastAsia="Times New Roman" w:hAnsi="Times New Roman" w:cs="Times New Roman"/>
          <w:sz w:val="24"/>
          <w:szCs w:val="24"/>
          <w:vertAlign w:val="superscript"/>
        </w:rPr>
        <w:t>]</w:t>
      </w:r>
      <w:r w:rsidRPr="00A4376F">
        <w:rPr>
          <w:rFonts w:ascii="Times New Roman" w:eastAsia="Times New Roman" w:hAnsi="Times New Roman" w:cs="Times New Roman"/>
          <w:sz w:val="24"/>
          <w:szCs w:val="24"/>
        </w:rPr>
        <w:t xml:space="preserve"> Following PCI, aspirin is combined with a P2Y</w:t>
      </w:r>
      <w:r w:rsidRPr="00A4376F">
        <w:rPr>
          <w:rFonts w:ascii="Times New Roman" w:eastAsia="Times New Roman" w:hAnsi="Times New Roman" w:cs="Times New Roman"/>
          <w:sz w:val="24"/>
          <w:szCs w:val="24"/>
          <w:vertAlign w:val="subscript"/>
        </w:rPr>
        <w:t>12</w:t>
      </w:r>
      <w:r w:rsidRPr="00A4376F">
        <w:rPr>
          <w:rFonts w:ascii="Times New Roman" w:eastAsia="Times New Roman" w:hAnsi="Times New Roman" w:cs="Times New Roman"/>
          <w:sz w:val="24"/>
          <w:szCs w:val="24"/>
        </w:rPr>
        <w:t xml:space="preserve"> receptor inhibitor to prevent restenosis.</w:t>
      </w:r>
      <w:r w:rsidRPr="00A4376F">
        <w:rPr>
          <w:rFonts w:ascii="Times New Roman" w:eastAsia="Times New Roman" w:hAnsi="Times New Roman" w:cs="Times New Roman"/>
          <w:sz w:val="24"/>
          <w:szCs w:val="24"/>
          <w:vertAlign w:val="superscript"/>
        </w:rPr>
        <w:t>[</w:t>
      </w:r>
      <w:hyperlink r:id="rId9" w:history="1">
        <w:r w:rsidRPr="00A4376F">
          <w:rPr>
            <w:rFonts w:ascii="Times New Roman" w:eastAsia="Times New Roman" w:hAnsi="Times New Roman" w:cs="Times New Roman"/>
            <w:color w:val="0000FF"/>
            <w:sz w:val="24"/>
            <w:szCs w:val="24"/>
            <w:u w:val="single"/>
            <w:vertAlign w:val="superscript"/>
          </w:rPr>
          <w:t>1</w:t>
        </w:r>
      </w:hyperlink>
      <w:r w:rsidRPr="00A4376F">
        <w:rPr>
          <w:rFonts w:ascii="Times New Roman" w:eastAsia="Times New Roman" w:hAnsi="Times New Roman" w:cs="Times New Roman"/>
          <w:sz w:val="24"/>
          <w:szCs w:val="24"/>
          <w:vertAlign w:val="superscript"/>
        </w:rPr>
        <w:t>,</w:t>
      </w:r>
      <w:hyperlink r:id="rId10" w:history="1">
        <w:r w:rsidRPr="00A4376F">
          <w:rPr>
            <w:rFonts w:ascii="Times New Roman" w:eastAsia="Times New Roman" w:hAnsi="Times New Roman" w:cs="Times New Roman"/>
            <w:color w:val="0000FF"/>
            <w:sz w:val="24"/>
            <w:szCs w:val="24"/>
            <w:u w:val="single"/>
            <w:vertAlign w:val="superscript"/>
          </w:rPr>
          <w:t>2</w:t>
        </w:r>
      </w:hyperlink>
      <w:r w:rsidRPr="00A4376F">
        <w:rPr>
          <w:rFonts w:ascii="Times New Roman" w:eastAsia="Times New Roman" w:hAnsi="Times New Roman" w:cs="Times New Roman"/>
          <w:sz w:val="24"/>
          <w:szCs w:val="24"/>
          <w:vertAlign w:val="superscript"/>
        </w:rPr>
        <w:t>]</w:t>
      </w:r>
      <w:r w:rsidRPr="00A4376F">
        <w:rPr>
          <w:rFonts w:ascii="Times New Roman" w:eastAsia="Times New Roman" w:hAnsi="Times New Roman" w:cs="Times New Roman"/>
          <w:sz w:val="24"/>
          <w:szCs w:val="24"/>
        </w:rPr>
        <w:t xml:space="preserve"> Aspirin sensitivity poses a significant clinical dilemma, as the safety and efficacy of oral antiplatelet combinations that exclude aspirin have not been established. Aspirin desensitization is a possible approach, but it may not always be feasible because of the urgent nature of cardiac intervention or the need for close observation in a setting equipped with resuscitative equipment.</w:t>
      </w:r>
      <w:r w:rsidRPr="00A4376F">
        <w:rPr>
          <w:rFonts w:ascii="Times New Roman" w:eastAsia="Times New Roman" w:hAnsi="Times New Roman" w:cs="Times New Roman"/>
          <w:sz w:val="24"/>
          <w:szCs w:val="24"/>
          <w:vertAlign w:val="superscript"/>
        </w:rPr>
        <w:t>[</w:t>
      </w:r>
      <w:hyperlink r:id="rId11" w:history="1">
        <w:r w:rsidRPr="00A4376F">
          <w:rPr>
            <w:rFonts w:ascii="Times New Roman" w:eastAsia="Times New Roman" w:hAnsi="Times New Roman" w:cs="Times New Roman"/>
            <w:color w:val="0000FF"/>
            <w:sz w:val="24"/>
            <w:szCs w:val="24"/>
            <w:u w:val="single"/>
            <w:vertAlign w:val="superscript"/>
          </w:rPr>
          <w:t>3</w:t>
        </w:r>
      </w:hyperlink>
      <w:r w:rsidRPr="00A4376F">
        <w:rPr>
          <w:rFonts w:ascii="Times New Roman" w:eastAsia="Times New Roman" w:hAnsi="Times New Roman" w:cs="Times New Roman"/>
          <w:sz w:val="24"/>
          <w:szCs w:val="24"/>
          <w:vertAlign w:val="superscript"/>
        </w:rPr>
        <w:t>,</w:t>
      </w:r>
      <w:hyperlink r:id="rId12" w:history="1">
        <w:r w:rsidRPr="00A4376F">
          <w:rPr>
            <w:rFonts w:ascii="Times New Roman" w:eastAsia="Times New Roman" w:hAnsi="Times New Roman" w:cs="Times New Roman"/>
            <w:color w:val="0000FF"/>
            <w:sz w:val="24"/>
            <w:szCs w:val="24"/>
            <w:u w:val="single"/>
            <w:vertAlign w:val="superscript"/>
          </w:rPr>
          <w:t>4</w:t>
        </w:r>
      </w:hyperlink>
      <w:r w:rsidRPr="00A4376F">
        <w:rPr>
          <w:rFonts w:ascii="Times New Roman" w:eastAsia="Times New Roman" w:hAnsi="Times New Roman" w:cs="Times New Roman"/>
          <w:sz w:val="24"/>
          <w:szCs w:val="24"/>
          <w:vertAlign w:val="superscript"/>
        </w:rPr>
        <w:t>]</w:t>
      </w:r>
      <w:r w:rsidRPr="00A4376F">
        <w:rPr>
          <w:rFonts w:ascii="Times New Roman" w:eastAsia="Times New Roman" w:hAnsi="Times New Roman" w:cs="Times New Roman"/>
          <w:sz w:val="24"/>
          <w:szCs w:val="24"/>
        </w:rPr>
        <w:t xml:space="preserve"> </w:t>
      </w:r>
    </w:p>
    <w:p w14:paraId="3D02318C" w14:textId="77777777" w:rsidR="00A4376F" w:rsidRPr="00A4376F" w:rsidRDefault="00A4376F" w:rsidP="00A4376F">
      <w:pPr>
        <w:spacing w:before="100" w:beforeAutospacing="1" w:after="100" w:afterAutospacing="1" w:line="240" w:lineRule="auto"/>
        <w:rPr>
          <w:rFonts w:ascii="Times New Roman" w:eastAsia="Times New Roman" w:hAnsi="Times New Roman" w:cs="Times New Roman"/>
          <w:sz w:val="24"/>
          <w:szCs w:val="24"/>
        </w:rPr>
      </w:pPr>
      <w:r w:rsidRPr="00A4376F">
        <w:rPr>
          <w:rFonts w:ascii="Times New Roman" w:eastAsia="Times New Roman" w:hAnsi="Times New Roman" w:cs="Times New Roman"/>
          <w:sz w:val="24"/>
          <w:szCs w:val="24"/>
        </w:rPr>
        <w:t xml:space="preserve">The 2012 American College of Cardiology Foundation/American Heart Association Focused Update of the Guideline for the Management of Patients with Unstable Angina/Non-ST-Elevation Myocardial Infarction recommends clopidogrel or ticagrelor alone in aspirin-allergic </w:t>
      </w:r>
      <w:r w:rsidRPr="00A4376F">
        <w:rPr>
          <w:rFonts w:ascii="Times New Roman" w:eastAsia="Times New Roman" w:hAnsi="Times New Roman" w:cs="Times New Roman"/>
          <w:sz w:val="24"/>
          <w:szCs w:val="24"/>
        </w:rPr>
        <w:lastRenderedPageBreak/>
        <w:t>patients.</w:t>
      </w:r>
      <w:r w:rsidRPr="00A4376F">
        <w:rPr>
          <w:rFonts w:ascii="Times New Roman" w:eastAsia="Times New Roman" w:hAnsi="Times New Roman" w:cs="Times New Roman"/>
          <w:sz w:val="24"/>
          <w:szCs w:val="24"/>
          <w:vertAlign w:val="superscript"/>
        </w:rPr>
        <w:t>[</w:t>
      </w:r>
      <w:hyperlink r:id="rId13" w:history="1">
        <w:r w:rsidRPr="00A4376F">
          <w:rPr>
            <w:rFonts w:ascii="Times New Roman" w:eastAsia="Times New Roman" w:hAnsi="Times New Roman" w:cs="Times New Roman"/>
            <w:color w:val="0000FF"/>
            <w:sz w:val="24"/>
            <w:szCs w:val="24"/>
            <w:u w:val="single"/>
            <w:vertAlign w:val="superscript"/>
          </w:rPr>
          <w:t>1</w:t>
        </w:r>
      </w:hyperlink>
      <w:r w:rsidRPr="00A4376F">
        <w:rPr>
          <w:rFonts w:ascii="Times New Roman" w:eastAsia="Times New Roman" w:hAnsi="Times New Roman" w:cs="Times New Roman"/>
          <w:sz w:val="24"/>
          <w:szCs w:val="24"/>
          <w:vertAlign w:val="superscript"/>
        </w:rPr>
        <w:t>]</w:t>
      </w:r>
      <w:r w:rsidRPr="00A4376F">
        <w:rPr>
          <w:rFonts w:ascii="Times New Roman" w:eastAsia="Times New Roman" w:hAnsi="Times New Roman" w:cs="Times New Roman"/>
          <w:sz w:val="24"/>
          <w:szCs w:val="24"/>
        </w:rPr>
        <w:t xml:space="preserve"> These guidelines advise against combination of 2 P2Y</w:t>
      </w:r>
      <w:r w:rsidRPr="00A4376F">
        <w:rPr>
          <w:rFonts w:ascii="Times New Roman" w:eastAsia="Times New Roman" w:hAnsi="Times New Roman" w:cs="Times New Roman"/>
          <w:sz w:val="24"/>
          <w:szCs w:val="24"/>
          <w:vertAlign w:val="subscript"/>
        </w:rPr>
        <w:t>12</w:t>
      </w:r>
      <w:r w:rsidRPr="00A4376F">
        <w:rPr>
          <w:rFonts w:ascii="Times New Roman" w:eastAsia="Times New Roman" w:hAnsi="Times New Roman" w:cs="Times New Roman"/>
          <w:sz w:val="24"/>
          <w:szCs w:val="24"/>
        </w:rPr>
        <w:t xml:space="preserve"> receptor inhibitors as there are no data to support that approach.</w:t>
      </w:r>
    </w:p>
    <w:p w14:paraId="1833AC57" w14:textId="77777777" w:rsidR="00A4376F" w:rsidRPr="00A4376F" w:rsidRDefault="00A4376F" w:rsidP="00A4376F">
      <w:pPr>
        <w:spacing w:before="100" w:beforeAutospacing="1" w:after="100" w:afterAutospacing="1" w:line="240" w:lineRule="auto"/>
        <w:rPr>
          <w:rFonts w:ascii="Times New Roman" w:eastAsia="Times New Roman" w:hAnsi="Times New Roman" w:cs="Times New Roman"/>
          <w:sz w:val="24"/>
          <w:szCs w:val="24"/>
        </w:rPr>
      </w:pPr>
      <w:r w:rsidRPr="00A4376F">
        <w:rPr>
          <w:rFonts w:ascii="Times New Roman" w:eastAsia="Times New Roman" w:hAnsi="Times New Roman" w:cs="Times New Roman"/>
          <w:sz w:val="24"/>
          <w:szCs w:val="24"/>
        </w:rPr>
        <w:t>The American College of Chest Physicians guidelines for primary and secondary prevention of cardiovascular disease recommend the phosphodiesterase inhibitor cilostazol, 100 mg by mouth every 12 hours, in place of aspirin 75-100 mg daily or clopidogrel 75 mg daily in patients undergoing bare metal or drug-eluting stent placement who have allergy or intolerance to either drug class.</w:t>
      </w:r>
      <w:r w:rsidRPr="00A4376F">
        <w:rPr>
          <w:rFonts w:ascii="Times New Roman" w:eastAsia="Times New Roman" w:hAnsi="Times New Roman" w:cs="Times New Roman"/>
          <w:sz w:val="24"/>
          <w:szCs w:val="24"/>
          <w:vertAlign w:val="superscript"/>
        </w:rPr>
        <w:t>[</w:t>
      </w:r>
      <w:hyperlink r:id="rId14" w:history="1">
        <w:r w:rsidRPr="00A4376F">
          <w:rPr>
            <w:rFonts w:ascii="Times New Roman" w:eastAsia="Times New Roman" w:hAnsi="Times New Roman" w:cs="Times New Roman"/>
            <w:color w:val="0000FF"/>
            <w:sz w:val="24"/>
            <w:szCs w:val="24"/>
            <w:u w:val="single"/>
            <w:vertAlign w:val="superscript"/>
          </w:rPr>
          <w:t>2</w:t>
        </w:r>
      </w:hyperlink>
      <w:r w:rsidRPr="00A4376F">
        <w:rPr>
          <w:rFonts w:ascii="Times New Roman" w:eastAsia="Times New Roman" w:hAnsi="Times New Roman" w:cs="Times New Roman"/>
          <w:sz w:val="24"/>
          <w:szCs w:val="24"/>
          <w:vertAlign w:val="superscript"/>
        </w:rPr>
        <w:t>]</w:t>
      </w:r>
      <w:r w:rsidRPr="00A4376F">
        <w:rPr>
          <w:rFonts w:ascii="Times New Roman" w:eastAsia="Times New Roman" w:hAnsi="Times New Roman" w:cs="Times New Roman"/>
          <w:sz w:val="24"/>
          <w:szCs w:val="24"/>
        </w:rPr>
        <w:t xml:space="preserve"> However, this recommendation was graded as weak, with a lack of outcomes data on these specific combinations.</w:t>
      </w:r>
    </w:p>
    <w:p w14:paraId="11674F57" w14:textId="77777777" w:rsidR="00A4376F" w:rsidRPr="00A4376F" w:rsidRDefault="00A4376F" w:rsidP="00A4376F">
      <w:pPr>
        <w:spacing w:before="100" w:beforeAutospacing="1" w:after="100" w:afterAutospacing="1" w:line="240" w:lineRule="auto"/>
        <w:rPr>
          <w:rFonts w:ascii="Times New Roman" w:eastAsia="Times New Roman" w:hAnsi="Times New Roman" w:cs="Times New Roman"/>
          <w:sz w:val="24"/>
          <w:szCs w:val="24"/>
        </w:rPr>
      </w:pPr>
      <w:r w:rsidRPr="00A4376F">
        <w:rPr>
          <w:rFonts w:ascii="Times New Roman" w:eastAsia="Times New Roman" w:hAnsi="Times New Roman" w:cs="Times New Roman"/>
          <w:sz w:val="24"/>
          <w:szCs w:val="24"/>
        </w:rPr>
        <w:t>The Society of Thoracic Surgeons guidelines for antiplatelet drugs in patients having cardiac and noncardiac operations discuss cilostazol as an antiplatelet agent but do not give any specific recommendation for or against its use.</w:t>
      </w:r>
      <w:r w:rsidRPr="00A4376F">
        <w:rPr>
          <w:rFonts w:ascii="Times New Roman" w:eastAsia="Times New Roman" w:hAnsi="Times New Roman" w:cs="Times New Roman"/>
          <w:sz w:val="24"/>
          <w:szCs w:val="24"/>
          <w:vertAlign w:val="superscript"/>
        </w:rPr>
        <w:t>[</w:t>
      </w:r>
      <w:hyperlink r:id="rId15" w:history="1">
        <w:r w:rsidRPr="00A4376F">
          <w:rPr>
            <w:rFonts w:ascii="Times New Roman" w:eastAsia="Times New Roman" w:hAnsi="Times New Roman" w:cs="Times New Roman"/>
            <w:color w:val="0000FF"/>
            <w:sz w:val="24"/>
            <w:szCs w:val="24"/>
            <w:u w:val="single"/>
            <w:vertAlign w:val="superscript"/>
          </w:rPr>
          <w:t>5</w:t>
        </w:r>
      </w:hyperlink>
      <w:r w:rsidRPr="00A4376F">
        <w:rPr>
          <w:rFonts w:ascii="Times New Roman" w:eastAsia="Times New Roman" w:hAnsi="Times New Roman" w:cs="Times New Roman"/>
          <w:sz w:val="24"/>
          <w:szCs w:val="24"/>
          <w:vertAlign w:val="superscript"/>
        </w:rPr>
        <w:t>]</w:t>
      </w:r>
      <w:r w:rsidRPr="00A4376F">
        <w:rPr>
          <w:rFonts w:ascii="Times New Roman" w:eastAsia="Times New Roman" w:hAnsi="Times New Roman" w:cs="Times New Roman"/>
          <w:sz w:val="24"/>
          <w:szCs w:val="24"/>
        </w:rPr>
        <w:t xml:space="preserve"> Data exist for cilostazol as part of a triple antiplatelet regimen that includes aspirin following PCI.</w:t>
      </w:r>
      <w:r w:rsidRPr="00A4376F">
        <w:rPr>
          <w:rFonts w:ascii="Times New Roman" w:eastAsia="Times New Roman" w:hAnsi="Times New Roman" w:cs="Times New Roman"/>
          <w:sz w:val="24"/>
          <w:szCs w:val="24"/>
          <w:vertAlign w:val="superscript"/>
        </w:rPr>
        <w:t>[</w:t>
      </w:r>
      <w:hyperlink r:id="rId16" w:history="1">
        <w:r w:rsidRPr="00A4376F">
          <w:rPr>
            <w:rFonts w:ascii="Times New Roman" w:eastAsia="Times New Roman" w:hAnsi="Times New Roman" w:cs="Times New Roman"/>
            <w:color w:val="0000FF"/>
            <w:sz w:val="24"/>
            <w:szCs w:val="24"/>
            <w:u w:val="single"/>
            <w:vertAlign w:val="superscript"/>
          </w:rPr>
          <w:t>4</w:t>
        </w:r>
      </w:hyperlink>
      <w:r w:rsidRPr="00A4376F">
        <w:rPr>
          <w:rFonts w:ascii="Times New Roman" w:eastAsia="Times New Roman" w:hAnsi="Times New Roman" w:cs="Times New Roman"/>
          <w:sz w:val="24"/>
          <w:szCs w:val="24"/>
          <w:vertAlign w:val="superscript"/>
        </w:rPr>
        <w:t>,</w:t>
      </w:r>
      <w:hyperlink r:id="rId17" w:history="1">
        <w:r w:rsidRPr="00A4376F">
          <w:rPr>
            <w:rFonts w:ascii="Times New Roman" w:eastAsia="Times New Roman" w:hAnsi="Times New Roman" w:cs="Times New Roman"/>
            <w:color w:val="0000FF"/>
            <w:sz w:val="24"/>
            <w:szCs w:val="24"/>
            <w:u w:val="single"/>
            <w:vertAlign w:val="superscript"/>
          </w:rPr>
          <w:t>5</w:t>
        </w:r>
      </w:hyperlink>
      <w:r w:rsidRPr="00A4376F">
        <w:rPr>
          <w:rFonts w:ascii="Times New Roman" w:eastAsia="Times New Roman" w:hAnsi="Times New Roman" w:cs="Times New Roman"/>
          <w:sz w:val="24"/>
          <w:szCs w:val="24"/>
          <w:vertAlign w:val="superscript"/>
        </w:rPr>
        <w:t>]</w:t>
      </w:r>
      <w:r w:rsidRPr="00A4376F">
        <w:rPr>
          <w:rFonts w:ascii="Times New Roman" w:eastAsia="Times New Roman" w:hAnsi="Times New Roman" w:cs="Times New Roman"/>
          <w:sz w:val="24"/>
          <w:szCs w:val="24"/>
        </w:rPr>
        <w:t xml:space="preserve"> Cilostazol is contraindicated in patients with heart failure, limiting its use in many patients with coronary heart disease.</w:t>
      </w:r>
      <w:r w:rsidRPr="00A4376F">
        <w:rPr>
          <w:rFonts w:ascii="Times New Roman" w:eastAsia="Times New Roman" w:hAnsi="Times New Roman" w:cs="Times New Roman"/>
          <w:sz w:val="24"/>
          <w:szCs w:val="24"/>
          <w:vertAlign w:val="superscript"/>
        </w:rPr>
        <w:t>[</w:t>
      </w:r>
      <w:hyperlink r:id="rId18" w:history="1">
        <w:r w:rsidRPr="00A4376F">
          <w:rPr>
            <w:rFonts w:ascii="Times New Roman" w:eastAsia="Times New Roman" w:hAnsi="Times New Roman" w:cs="Times New Roman"/>
            <w:color w:val="0000FF"/>
            <w:sz w:val="24"/>
            <w:szCs w:val="24"/>
            <w:u w:val="single"/>
            <w:vertAlign w:val="superscript"/>
          </w:rPr>
          <w:t>6</w:t>
        </w:r>
      </w:hyperlink>
      <w:r w:rsidRPr="00A4376F">
        <w:rPr>
          <w:rFonts w:ascii="Times New Roman" w:eastAsia="Times New Roman" w:hAnsi="Times New Roman" w:cs="Times New Roman"/>
          <w:sz w:val="24"/>
          <w:szCs w:val="24"/>
          <w:vertAlign w:val="superscript"/>
        </w:rPr>
        <w:t>]</w:t>
      </w:r>
      <w:r w:rsidRPr="00A4376F">
        <w:rPr>
          <w:rFonts w:ascii="Times New Roman" w:eastAsia="Times New Roman" w:hAnsi="Times New Roman" w:cs="Times New Roman"/>
          <w:sz w:val="24"/>
          <w:szCs w:val="24"/>
        </w:rPr>
        <w:t xml:space="preserve"> </w:t>
      </w:r>
    </w:p>
    <w:p w14:paraId="435B65E4" w14:textId="77777777" w:rsidR="00A4376F" w:rsidRPr="00A4376F" w:rsidRDefault="00A4376F" w:rsidP="00A4376F">
      <w:pPr>
        <w:spacing w:before="100" w:beforeAutospacing="1" w:after="100" w:afterAutospacing="1" w:line="240" w:lineRule="auto"/>
        <w:rPr>
          <w:rFonts w:ascii="Times New Roman" w:eastAsia="Times New Roman" w:hAnsi="Times New Roman" w:cs="Times New Roman"/>
          <w:sz w:val="24"/>
          <w:szCs w:val="24"/>
        </w:rPr>
      </w:pPr>
      <w:r w:rsidRPr="00A4376F">
        <w:rPr>
          <w:rFonts w:ascii="Times New Roman" w:eastAsia="Times New Roman" w:hAnsi="Times New Roman" w:cs="Times New Roman"/>
          <w:sz w:val="24"/>
          <w:szCs w:val="24"/>
        </w:rPr>
        <w:t xml:space="preserve">Sensitivity to aspirin or other nonsteroidal anti-inflammatory drugs (NSAIDs) is attributed to either an immunologic process or a pharmacologic effect. Aspirin hypersensitivity encompasses aspirin-exacerbated respiratory tract disease (aspirin-intolerant asthma), cutaneous reactions (urticaria/angioedema), or systemic reactions (anaphylaxis). Depending on the type of reaction, desensitization can be considered, with the exception of patients with chronic idiopathic </w:t>
      </w:r>
      <w:proofErr w:type="gramStart"/>
      <w:r w:rsidRPr="00A4376F">
        <w:rPr>
          <w:rFonts w:ascii="Times New Roman" w:eastAsia="Times New Roman" w:hAnsi="Times New Roman" w:cs="Times New Roman"/>
          <w:sz w:val="24"/>
          <w:szCs w:val="24"/>
        </w:rPr>
        <w:t>urticaria.</w:t>
      </w:r>
      <w:r w:rsidRPr="00A4376F">
        <w:rPr>
          <w:rFonts w:ascii="Times New Roman" w:eastAsia="Times New Roman" w:hAnsi="Times New Roman" w:cs="Times New Roman"/>
          <w:sz w:val="24"/>
          <w:szCs w:val="24"/>
          <w:vertAlign w:val="superscript"/>
        </w:rPr>
        <w:t>[</w:t>
      </w:r>
      <w:proofErr w:type="gramEnd"/>
      <w:r w:rsidRPr="00A4376F">
        <w:rPr>
          <w:rFonts w:ascii="Times New Roman" w:eastAsia="Times New Roman" w:hAnsi="Times New Roman" w:cs="Times New Roman"/>
          <w:sz w:val="24"/>
          <w:szCs w:val="24"/>
          <w:vertAlign w:val="superscript"/>
        </w:rPr>
        <w:fldChar w:fldCharType="begin"/>
      </w:r>
      <w:r w:rsidRPr="00A4376F">
        <w:rPr>
          <w:rFonts w:ascii="Times New Roman" w:eastAsia="Times New Roman" w:hAnsi="Times New Roman" w:cs="Times New Roman"/>
          <w:sz w:val="24"/>
          <w:szCs w:val="24"/>
          <w:vertAlign w:val="superscript"/>
        </w:rPr>
        <w:instrText xml:space="preserve"> HYPERLINK "javascript:void(0);" </w:instrText>
      </w:r>
      <w:r w:rsidRPr="00A4376F">
        <w:rPr>
          <w:rFonts w:ascii="Times New Roman" w:eastAsia="Times New Roman" w:hAnsi="Times New Roman" w:cs="Times New Roman"/>
          <w:sz w:val="24"/>
          <w:szCs w:val="24"/>
          <w:vertAlign w:val="superscript"/>
        </w:rPr>
        <w:fldChar w:fldCharType="separate"/>
      </w:r>
      <w:r w:rsidRPr="00A4376F">
        <w:rPr>
          <w:rFonts w:ascii="Times New Roman" w:eastAsia="Times New Roman" w:hAnsi="Times New Roman" w:cs="Times New Roman"/>
          <w:color w:val="0000FF"/>
          <w:sz w:val="24"/>
          <w:szCs w:val="24"/>
          <w:u w:val="single"/>
          <w:vertAlign w:val="superscript"/>
        </w:rPr>
        <w:t>3</w:t>
      </w:r>
      <w:r w:rsidRPr="00A4376F">
        <w:rPr>
          <w:rFonts w:ascii="Times New Roman" w:eastAsia="Times New Roman" w:hAnsi="Times New Roman" w:cs="Times New Roman"/>
          <w:sz w:val="24"/>
          <w:szCs w:val="24"/>
          <w:vertAlign w:val="superscript"/>
        </w:rPr>
        <w:fldChar w:fldCharType="end"/>
      </w:r>
      <w:r w:rsidRPr="00A4376F">
        <w:rPr>
          <w:rFonts w:ascii="Times New Roman" w:eastAsia="Times New Roman" w:hAnsi="Times New Roman" w:cs="Times New Roman"/>
          <w:sz w:val="24"/>
          <w:szCs w:val="24"/>
          <w:vertAlign w:val="superscript"/>
        </w:rPr>
        <w:t>,</w:t>
      </w:r>
      <w:hyperlink r:id="rId19" w:history="1">
        <w:r w:rsidRPr="00A4376F">
          <w:rPr>
            <w:rFonts w:ascii="Times New Roman" w:eastAsia="Times New Roman" w:hAnsi="Times New Roman" w:cs="Times New Roman"/>
            <w:color w:val="0000FF"/>
            <w:sz w:val="24"/>
            <w:szCs w:val="24"/>
            <w:u w:val="single"/>
            <w:vertAlign w:val="superscript"/>
          </w:rPr>
          <w:t>4</w:t>
        </w:r>
      </w:hyperlink>
      <w:r w:rsidRPr="00A4376F">
        <w:rPr>
          <w:rFonts w:ascii="Times New Roman" w:eastAsia="Times New Roman" w:hAnsi="Times New Roman" w:cs="Times New Roman"/>
          <w:sz w:val="24"/>
          <w:szCs w:val="24"/>
          <w:vertAlign w:val="superscript"/>
        </w:rPr>
        <w:t>]</w:t>
      </w:r>
      <w:r w:rsidRPr="00A4376F">
        <w:rPr>
          <w:rFonts w:ascii="Times New Roman" w:eastAsia="Times New Roman" w:hAnsi="Times New Roman" w:cs="Times New Roman"/>
          <w:sz w:val="24"/>
          <w:szCs w:val="24"/>
        </w:rPr>
        <w:t xml:space="preserve"> </w:t>
      </w:r>
    </w:p>
    <w:p w14:paraId="2460B8E4" w14:textId="77777777" w:rsidR="00A4376F" w:rsidRPr="00A4376F" w:rsidRDefault="00A4376F" w:rsidP="00A4376F">
      <w:pPr>
        <w:spacing w:before="100" w:beforeAutospacing="1" w:after="100" w:afterAutospacing="1" w:line="240" w:lineRule="auto"/>
        <w:rPr>
          <w:rFonts w:ascii="Times New Roman" w:eastAsia="Times New Roman" w:hAnsi="Times New Roman" w:cs="Times New Roman"/>
          <w:sz w:val="24"/>
          <w:szCs w:val="24"/>
        </w:rPr>
      </w:pPr>
      <w:r w:rsidRPr="00A4376F">
        <w:rPr>
          <w:rFonts w:ascii="Times New Roman" w:eastAsia="Times New Roman" w:hAnsi="Times New Roman" w:cs="Times New Roman"/>
          <w:sz w:val="24"/>
          <w:szCs w:val="24"/>
        </w:rPr>
        <w:t xml:space="preserve">Before considering alternative antiplatelet regimens or attempting desensitization, the cause of the reaction should be determined with the help of a thorough patient </w:t>
      </w:r>
      <w:proofErr w:type="gramStart"/>
      <w:r w:rsidRPr="00A4376F">
        <w:rPr>
          <w:rFonts w:ascii="Times New Roman" w:eastAsia="Times New Roman" w:hAnsi="Times New Roman" w:cs="Times New Roman"/>
          <w:sz w:val="24"/>
          <w:szCs w:val="24"/>
        </w:rPr>
        <w:t>history.</w:t>
      </w:r>
      <w:r w:rsidRPr="00A4376F">
        <w:rPr>
          <w:rFonts w:ascii="Times New Roman" w:eastAsia="Times New Roman" w:hAnsi="Times New Roman" w:cs="Times New Roman"/>
          <w:sz w:val="24"/>
          <w:szCs w:val="24"/>
          <w:vertAlign w:val="superscript"/>
        </w:rPr>
        <w:t>[</w:t>
      </w:r>
      <w:proofErr w:type="gramEnd"/>
      <w:r w:rsidRPr="00A4376F">
        <w:rPr>
          <w:rFonts w:ascii="Times New Roman" w:eastAsia="Times New Roman" w:hAnsi="Times New Roman" w:cs="Times New Roman"/>
          <w:sz w:val="24"/>
          <w:szCs w:val="24"/>
          <w:vertAlign w:val="superscript"/>
        </w:rPr>
        <w:fldChar w:fldCharType="begin"/>
      </w:r>
      <w:r w:rsidRPr="00A4376F">
        <w:rPr>
          <w:rFonts w:ascii="Times New Roman" w:eastAsia="Times New Roman" w:hAnsi="Times New Roman" w:cs="Times New Roman"/>
          <w:sz w:val="24"/>
          <w:szCs w:val="24"/>
          <w:vertAlign w:val="superscript"/>
        </w:rPr>
        <w:instrText xml:space="preserve"> HYPERLINK "javascript:void(0);" </w:instrText>
      </w:r>
      <w:r w:rsidRPr="00A4376F">
        <w:rPr>
          <w:rFonts w:ascii="Times New Roman" w:eastAsia="Times New Roman" w:hAnsi="Times New Roman" w:cs="Times New Roman"/>
          <w:sz w:val="24"/>
          <w:szCs w:val="24"/>
          <w:vertAlign w:val="superscript"/>
        </w:rPr>
        <w:fldChar w:fldCharType="separate"/>
      </w:r>
      <w:r w:rsidRPr="00A4376F">
        <w:rPr>
          <w:rFonts w:ascii="Times New Roman" w:eastAsia="Times New Roman" w:hAnsi="Times New Roman" w:cs="Times New Roman"/>
          <w:color w:val="0000FF"/>
          <w:sz w:val="24"/>
          <w:szCs w:val="24"/>
          <w:u w:val="single"/>
          <w:vertAlign w:val="superscript"/>
        </w:rPr>
        <w:t>3</w:t>
      </w:r>
      <w:r w:rsidRPr="00A4376F">
        <w:rPr>
          <w:rFonts w:ascii="Times New Roman" w:eastAsia="Times New Roman" w:hAnsi="Times New Roman" w:cs="Times New Roman"/>
          <w:sz w:val="24"/>
          <w:szCs w:val="24"/>
          <w:vertAlign w:val="superscript"/>
        </w:rPr>
        <w:fldChar w:fldCharType="end"/>
      </w:r>
      <w:r w:rsidRPr="00A4376F">
        <w:rPr>
          <w:rFonts w:ascii="Times New Roman" w:eastAsia="Times New Roman" w:hAnsi="Times New Roman" w:cs="Times New Roman"/>
          <w:sz w:val="24"/>
          <w:szCs w:val="24"/>
          <w:vertAlign w:val="superscript"/>
        </w:rPr>
        <w:t>,</w:t>
      </w:r>
      <w:hyperlink r:id="rId20" w:history="1">
        <w:r w:rsidRPr="00A4376F">
          <w:rPr>
            <w:rFonts w:ascii="Times New Roman" w:eastAsia="Times New Roman" w:hAnsi="Times New Roman" w:cs="Times New Roman"/>
            <w:color w:val="0000FF"/>
            <w:sz w:val="24"/>
            <w:szCs w:val="24"/>
            <w:u w:val="single"/>
            <w:vertAlign w:val="superscript"/>
          </w:rPr>
          <w:t>4</w:t>
        </w:r>
      </w:hyperlink>
      <w:r w:rsidRPr="00A4376F">
        <w:rPr>
          <w:rFonts w:ascii="Times New Roman" w:eastAsia="Times New Roman" w:hAnsi="Times New Roman" w:cs="Times New Roman"/>
          <w:sz w:val="24"/>
          <w:szCs w:val="24"/>
          <w:vertAlign w:val="superscript"/>
        </w:rPr>
        <w:t>]</w:t>
      </w:r>
      <w:r w:rsidRPr="00A4376F">
        <w:rPr>
          <w:rFonts w:ascii="Times New Roman" w:eastAsia="Times New Roman" w:hAnsi="Times New Roman" w:cs="Times New Roman"/>
          <w:sz w:val="24"/>
          <w:szCs w:val="24"/>
        </w:rPr>
        <w:t xml:space="preserve"> </w:t>
      </w:r>
    </w:p>
    <w:p w14:paraId="2DA1CD3C" w14:textId="77777777" w:rsidR="00A4376F" w:rsidRPr="00A4376F" w:rsidRDefault="00A4376F" w:rsidP="00A4376F">
      <w:pPr>
        <w:spacing w:before="100" w:beforeAutospacing="1" w:after="100" w:afterAutospacing="1" w:line="240" w:lineRule="auto"/>
        <w:rPr>
          <w:rFonts w:ascii="Times New Roman" w:eastAsia="Times New Roman" w:hAnsi="Times New Roman" w:cs="Times New Roman"/>
          <w:sz w:val="24"/>
          <w:szCs w:val="24"/>
        </w:rPr>
      </w:pPr>
      <w:r w:rsidRPr="00A4376F">
        <w:rPr>
          <w:rFonts w:ascii="Times New Roman" w:eastAsia="Times New Roman" w:hAnsi="Times New Roman" w:cs="Times New Roman"/>
          <w:sz w:val="24"/>
          <w:szCs w:val="24"/>
        </w:rPr>
        <w:t>Immunologic reactions involve immunoglobulin E (</w:t>
      </w:r>
      <w:proofErr w:type="spellStart"/>
      <w:r w:rsidRPr="00A4376F">
        <w:rPr>
          <w:rFonts w:ascii="Times New Roman" w:eastAsia="Times New Roman" w:hAnsi="Times New Roman" w:cs="Times New Roman"/>
          <w:sz w:val="24"/>
          <w:szCs w:val="24"/>
        </w:rPr>
        <w:t>IgE</w:t>
      </w:r>
      <w:proofErr w:type="spellEnd"/>
      <w:r w:rsidRPr="00A4376F">
        <w:rPr>
          <w:rFonts w:ascii="Times New Roman" w:eastAsia="Times New Roman" w:hAnsi="Times New Roman" w:cs="Times New Roman"/>
          <w:sz w:val="24"/>
          <w:szCs w:val="24"/>
        </w:rPr>
        <w:t xml:space="preserve">) production against a specific NSAID. Patients with </w:t>
      </w:r>
      <w:proofErr w:type="spellStart"/>
      <w:r w:rsidRPr="00A4376F">
        <w:rPr>
          <w:rFonts w:ascii="Times New Roman" w:eastAsia="Times New Roman" w:hAnsi="Times New Roman" w:cs="Times New Roman"/>
          <w:sz w:val="24"/>
          <w:szCs w:val="24"/>
        </w:rPr>
        <w:t>IgE</w:t>
      </w:r>
      <w:proofErr w:type="spellEnd"/>
      <w:r w:rsidRPr="00A4376F">
        <w:rPr>
          <w:rFonts w:ascii="Times New Roman" w:eastAsia="Times New Roman" w:hAnsi="Times New Roman" w:cs="Times New Roman"/>
          <w:sz w:val="24"/>
          <w:szCs w:val="24"/>
        </w:rPr>
        <w:t xml:space="preserve">-mediated hypersensitivity tend to react only after prior exposure to a particular NSAID. Cross-reactivity is not expected in this case. If the reaction occurred with a </w:t>
      </w:r>
      <w:proofErr w:type="spellStart"/>
      <w:r w:rsidRPr="00A4376F">
        <w:rPr>
          <w:rFonts w:ascii="Times New Roman" w:eastAsia="Times New Roman" w:hAnsi="Times New Roman" w:cs="Times New Roman"/>
          <w:sz w:val="24"/>
          <w:szCs w:val="24"/>
        </w:rPr>
        <w:t>nonaspirin</w:t>
      </w:r>
      <w:proofErr w:type="spellEnd"/>
      <w:r w:rsidRPr="00A4376F">
        <w:rPr>
          <w:rFonts w:ascii="Times New Roman" w:eastAsia="Times New Roman" w:hAnsi="Times New Roman" w:cs="Times New Roman"/>
          <w:sz w:val="24"/>
          <w:szCs w:val="24"/>
        </w:rPr>
        <w:t xml:space="preserve"> NSAID and was not anaphylactic, then aspirin can typically be attempted without </w:t>
      </w:r>
      <w:proofErr w:type="gramStart"/>
      <w:r w:rsidRPr="00A4376F">
        <w:rPr>
          <w:rFonts w:ascii="Times New Roman" w:eastAsia="Times New Roman" w:hAnsi="Times New Roman" w:cs="Times New Roman"/>
          <w:sz w:val="24"/>
          <w:szCs w:val="24"/>
        </w:rPr>
        <w:t>desensitization.</w:t>
      </w:r>
      <w:r w:rsidRPr="00A4376F">
        <w:rPr>
          <w:rFonts w:ascii="Times New Roman" w:eastAsia="Times New Roman" w:hAnsi="Times New Roman" w:cs="Times New Roman"/>
          <w:sz w:val="24"/>
          <w:szCs w:val="24"/>
          <w:vertAlign w:val="superscript"/>
        </w:rPr>
        <w:t>[</w:t>
      </w:r>
      <w:proofErr w:type="gramEnd"/>
      <w:r w:rsidRPr="00A4376F">
        <w:rPr>
          <w:rFonts w:ascii="Times New Roman" w:eastAsia="Times New Roman" w:hAnsi="Times New Roman" w:cs="Times New Roman"/>
          <w:sz w:val="24"/>
          <w:szCs w:val="24"/>
          <w:vertAlign w:val="superscript"/>
        </w:rPr>
        <w:fldChar w:fldCharType="begin"/>
      </w:r>
      <w:r w:rsidRPr="00A4376F">
        <w:rPr>
          <w:rFonts w:ascii="Times New Roman" w:eastAsia="Times New Roman" w:hAnsi="Times New Roman" w:cs="Times New Roman"/>
          <w:sz w:val="24"/>
          <w:szCs w:val="24"/>
          <w:vertAlign w:val="superscript"/>
        </w:rPr>
        <w:instrText xml:space="preserve"> HYPERLINK "javascript:void(0);" </w:instrText>
      </w:r>
      <w:r w:rsidRPr="00A4376F">
        <w:rPr>
          <w:rFonts w:ascii="Times New Roman" w:eastAsia="Times New Roman" w:hAnsi="Times New Roman" w:cs="Times New Roman"/>
          <w:sz w:val="24"/>
          <w:szCs w:val="24"/>
          <w:vertAlign w:val="superscript"/>
        </w:rPr>
        <w:fldChar w:fldCharType="separate"/>
      </w:r>
      <w:r w:rsidRPr="00A4376F">
        <w:rPr>
          <w:rFonts w:ascii="Times New Roman" w:eastAsia="Times New Roman" w:hAnsi="Times New Roman" w:cs="Times New Roman"/>
          <w:color w:val="0000FF"/>
          <w:sz w:val="24"/>
          <w:szCs w:val="24"/>
          <w:u w:val="single"/>
          <w:vertAlign w:val="superscript"/>
        </w:rPr>
        <w:t>3</w:t>
      </w:r>
      <w:r w:rsidRPr="00A4376F">
        <w:rPr>
          <w:rFonts w:ascii="Times New Roman" w:eastAsia="Times New Roman" w:hAnsi="Times New Roman" w:cs="Times New Roman"/>
          <w:sz w:val="24"/>
          <w:szCs w:val="24"/>
          <w:vertAlign w:val="superscript"/>
        </w:rPr>
        <w:fldChar w:fldCharType="end"/>
      </w:r>
      <w:r w:rsidRPr="00A4376F">
        <w:rPr>
          <w:rFonts w:ascii="Times New Roman" w:eastAsia="Times New Roman" w:hAnsi="Times New Roman" w:cs="Times New Roman"/>
          <w:sz w:val="24"/>
          <w:szCs w:val="24"/>
          <w:vertAlign w:val="superscript"/>
        </w:rPr>
        <w:t>,</w:t>
      </w:r>
      <w:hyperlink r:id="rId21" w:history="1">
        <w:r w:rsidRPr="00A4376F">
          <w:rPr>
            <w:rFonts w:ascii="Times New Roman" w:eastAsia="Times New Roman" w:hAnsi="Times New Roman" w:cs="Times New Roman"/>
            <w:color w:val="0000FF"/>
            <w:sz w:val="24"/>
            <w:szCs w:val="24"/>
            <w:u w:val="single"/>
            <w:vertAlign w:val="superscript"/>
          </w:rPr>
          <w:t>4</w:t>
        </w:r>
      </w:hyperlink>
      <w:r w:rsidRPr="00A4376F">
        <w:rPr>
          <w:rFonts w:ascii="Times New Roman" w:eastAsia="Times New Roman" w:hAnsi="Times New Roman" w:cs="Times New Roman"/>
          <w:sz w:val="24"/>
          <w:szCs w:val="24"/>
          <w:vertAlign w:val="superscript"/>
        </w:rPr>
        <w:t>]</w:t>
      </w:r>
      <w:r w:rsidRPr="00A4376F">
        <w:rPr>
          <w:rFonts w:ascii="Times New Roman" w:eastAsia="Times New Roman" w:hAnsi="Times New Roman" w:cs="Times New Roman"/>
          <w:sz w:val="24"/>
          <w:szCs w:val="24"/>
        </w:rPr>
        <w:t xml:space="preserve"> </w:t>
      </w:r>
    </w:p>
    <w:p w14:paraId="334B386F" w14:textId="77777777" w:rsidR="00A4376F" w:rsidRPr="00A4376F" w:rsidRDefault="00A4376F" w:rsidP="00A4376F">
      <w:pPr>
        <w:spacing w:before="100" w:beforeAutospacing="1" w:after="100" w:afterAutospacing="1" w:line="240" w:lineRule="auto"/>
        <w:rPr>
          <w:rFonts w:ascii="Times New Roman" w:eastAsia="Times New Roman" w:hAnsi="Times New Roman" w:cs="Times New Roman"/>
          <w:sz w:val="24"/>
          <w:szCs w:val="24"/>
        </w:rPr>
      </w:pPr>
      <w:r w:rsidRPr="00A4376F">
        <w:rPr>
          <w:rFonts w:ascii="Times New Roman" w:eastAsia="Times New Roman" w:hAnsi="Times New Roman" w:cs="Times New Roman"/>
          <w:sz w:val="24"/>
          <w:szCs w:val="24"/>
        </w:rPr>
        <w:t>Pharmacologic reactions are induced by COX-1 inhibition and tend to cross-react within the class of NSAIDs that inhibits COX-1.</w:t>
      </w:r>
      <w:r w:rsidRPr="00A4376F">
        <w:rPr>
          <w:rFonts w:ascii="Times New Roman" w:eastAsia="Times New Roman" w:hAnsi="Times New Roman" w:cs="Times New Roman"/>
          <w:sz w:val="24"/>
          <w:szCs w:val="24"/>
          <w:vertAlign w:val="superscript"/>
        </w:rPr>
        <w:t>[</w:t>
      </w:r>
      <w:hyperlink r:id="rId22" w:history="1">
        <w:r w:rsidRPr="00A4376F">
          <w:rPr>
            <w:rFonts w:ascii="Times New Roman" w:eastAsia="Times New Roman" w:hAnsi="Times New Roman" w:cs="Times New Roman"/>
            <w:color w:val="0000FF"/>
            <w:sz w:val="24"/>
            <w:szCs w:val="24"/>
            <w:u w:val="single"/>
            <w:vertAlign w:val="superscript"/>
          </w:rPr>
          <w:t>3</w:t>
        </w:r>
      </w:hyperlink>
      <w:r w:rsidRPr="00A4376F">
        <w:rPr>
          <w:rFonts w:ascii="Times New Roman" w:eastAsia="Times New Roman" w:hAnsi="Times New Roman" w:cs="Times New Roman"/>
          <w:sz w:val="24"/>
          <w:szCs w:val="24"/>
          <w:vertAlign w:val="superscript"/>
        </w:rPr>
        <w:t>,</w:t>
      </w:r>
      <w:hyperlink r:id="rId23" w:history="1">
        <w:r w:rsidRPr="00A4376F">
          <w:rPr>
            <w:rFonts w:ascii="Times New Roman" w:eastAsia="Times New Roman" w:hAnsi="Times New Roman" w:cs="Times New Roman"/>
            <w:color w:val="0000FF"/>
            <w:sz w:val="24"/>
            <w:szCs w:val="24"/>
            <w:u w:val="single"/>
            <w:vertAlign w:val="superscript"/>
          </w:rPr>
          <w:t>4</w:t>
        </w:r>
      </w:hyperlink>
      <w:r w:rsidRPr="00A4376F">
        <w:rPr>
          <w:rFonts w:ascii="Times New Roman" w:eastAsia="Times New Roman" w:hAnsi="Times New Roman" w:cs="Times New Roman"/>
          <w:sz w:val="24"/>
          <w:szCs w:val="24"/>
          <w:vertAlign w:val="superscript"/>
        </w:rPr>
        <w:t>]</w:t>
      </w:r>
      <w:r w:rsidRPr="00A4376F">
        <w:rPr>
          <w:rFonts w:ascii="Times New Roman" w:eastAsia="Times New Roman" w:hAnsi="Times New Roman" w:cs="Times New Roman"/>
          <w:sz w:val="24"/>
          <w:szCs w:val="24"/>
        </w:rPr>
        <w:t xml:space="preserve"> These patients tend to react after the first exposure to any NSAID and would be expected to have a reaction to aspirin. Such patients could be considered for aspirin </w:t>
      </w:r>
      <w:proofErr w:type="gramStart"/>
      <w:r w:rsidRPr="00A4376F">
        <w:rPr>
          <w:rFonts w:ascii="Times New Roman" w:eastAsia="Times New Roman" w:hAnsi="Times New Roman" w:cs="Times New Roman"/>
          <w:sz w:val="24"/>
          <w:szCs w:val="24"/>
        </w:rPr>
        <w:t>desensitization.</w:t>
      </w:r>
      <w:r w:rsidRPr="00A4376F">
        <w:rPr>
          <w:rFonts w:ascii="Times New Roman" w:eastAsia="Times New Roman" w:hAnsi="Times New Roman" w:cs="Times New Roman"/>
          <w:sz w:val="24"/>
          <w:szCs w:val="24"/>
          <w:vertAlign w:val="superscript"/>
        </w:rPr>
        <w:t>[</w:t>
      </w:r>
      <w:proofErr w:type="gramEnd"/>
      <w:r w:rsidRPr="00A4376F">
        <w:rPr>
          <w:rFonts w:ascii="Times New Roman" w:eastAsia="Times New Roman" w:hAnsi="Times New Roman" w:cs="Times New Roman"/>
          <w:sz w:val="24"/>
          <w:szCs w:val="24"/>
          <w:vertAlign w:val="superscript"/>
        </w:rPr>
        <w:fldChar w:fldCharType="begin"/>
      </w:r>
      <w:r w:rsidRPr="00A4376F">
        <w:rPr>
          <w:rFonts w:ascii="Times New Roman" w:eastAsia="Times New Roman" w:hAnsi="Times New Roman" w:cs="Times New Roman"/>
          <w:sz w:val="24"/>
          <w:szCs w:val="24"/>
          <w:vertAlign w:val="superscript"/>
        </w:rPr>
        <w:instrText xml:space="preserve"> HYPERLINK "javascript:void(0);" </w:instrText>
      </w:r>
      <w:r w:rsidRPr="00A4376F">
        <w:rPr>
          <w:rFonts w:ascii="Times New Roman" w:eastAsia="Times New Roman" w:hAnsi="Times New Roman" w:cs="Times New Roman"/>
          <w:sz w:val="24"/>
          <w:szCs w:val="24"/>
          <w:vertAlign w:val="superscript"/>
        </w:rPr>
        <w:fldChar w:fldCharType="separate"/>
      </w:r>
      <w:r w:rsidRPr="00A4376F">
        <w:rPr>
          <w:rFonts w:ascii="Times New Roman" w:eastAsia="Times New Roman" w:hAnsi="Times New Roman" w:cs="Times New Roman"/>
          <w:color w:val="0000FF"/>
          <w:sz w:val="24"/>
          <w:szCs w:val="24"/>
          <w:u w:val="single"/>
          <w:vertAlign w:val="superscript"/>
        </w:rPr>
        <w:t>4</w:t>
      </w:r>
      <w:r w:rsidRPr="00A4376F">
        <w:rPr>
          <w:rFonts w:ascii="Times New Roman" w:eastAsia="Times New Roman" w:hAnsi="Times New Roman" w:cs="Times New Roman"/>
          <w:sz w:val="24"/>
          <w:szCs w:val="24"/>
          <w:vertAlign w:val="superscript"/>
        </w:rPr>
        <w:fldChar w:fldCharType="end"/>
      </w:r>
      <w:r w:rsidRPr="00A4376F">
        <w:rPr>
          <w:rFonts w:ascii="Times New Roman" w:eastAsia="Times New Roman" w:hAnsi="Times New Roman" w:cs="Times New Roman"/>
          <w:sz w:val="24"/>
          <w:szCs w:val="24"/>
          <w:vertAlign w:val="superscript"/>
        </w:rPr>
        <w:t>]</w:t>
      </w:r>
      <w:r w:rsidRPr="00A4376F">
        <w:rPr>
          <w:rFonts w:ascii="Times New Roman" w:eastAsia="Times New Roman" w:hAnsi="Times New Roman" w:cs="Times New Roman"/>
          <w:sz w:val="24"/>
          <w:szCs w:val="24"/>
        </w:rPr>
        <w:t xml:space="preserve"> </w:t>
      </w:r>
    </w:p>
    <w:p w14:paraId="67C0D8A8" w14:textId="77777777" w:rsidR="00A4376F" w:rsidRPr="00A4376F" w:rsidRDefault="00A4376F" w:rsidP="00A4376F">
      <w:pPr>
        <w:spacing w:before="100" w:beforeAutospacing="1" w:after="100" w:afterAutospacing="1" w:line="240" w:lineRule="auto"/>
        <w:rPr>
          <w:rFonts w:ascii="Times New Roman" w:eastAsia="Times New Roman" w:hAnsi="Times New Roman" w:cs="Times New Roman"/>
          <w:sz w:val="24"/>
          <w:szCs w:val="24"/>
        </w:rPr>
      </w:pPr>
      <w:proofErr w:type="spellStart"/>
      <w:r w:rsidRPr="00A4376F">
        <w:rPr>
          <w:rFonts w:ascii="Times New Roman" w:eastAsia="Times New Roman" w:hAnsi="Times New Roman" w:cs="Times New Roman"/>
          <w:sz w:val="24"/>
          <w:szCs w:val="24"/>
        </w:rPr>
        <w:t>Gollapudi</w:t>
      </w:r>
      <w:proofErr w:type="spellEnd"/>
      <w:r w:rsidRPr="00A4376F">
        <w:rPr>
          <w:rFonts w:ascii="Times New Roman" w:eastAsia="Times New Roman" w:hAnsi="Times New Roman" w:cs="Times New Roman"/>
          <w:sz w:val="24"/>
          <w:szCs w:val="24"/>
        </w:rPr>
        <w:t xml:space="preserve"> and </w:t>
      </w:r>
      <w:proofErr w:type="gramStart"/>
      <w:r w:rsidRPr="00A4376F">
        <w:rPr>
          <w:rFonts w:ascii="Times New Roman" w:eastAsia="Times New Roman" w:hAnsi="Times New Roman" w:cs="Times New Roman"/>
          <w:sz w:val="24"/>
          <w:szCs w:val="24"/>
        </w:rPr>
        <w:t>colleagues</w:t>
      </w:r>
      <w:r w:rsidRPr="00A4376F">
        <w:rPr>
          <w:rFonts w:ascii="Times New Roman" w:eastAsia="Times New Roman" w:hAnsi="Times New Roman" w:cs="Times New Roman"/>
          <w:sz w:val="24"/>
          <w:szCs w:val="24"/>
          <w:vertAlign w:val="superscript"/>
        </w:rPr>
        <w:t>[</w:t>
      </w:r>
      <w:proofErr w:type="gramEnd"/>
      <w:hyperlink r:id="rId24" w:history="1">
        <w:r w:rsidRPr="00A4376F">
          <w:rPr>
            <w:rFonts w:ascii="Times New Roman" w:eastAsia="Times New Roman" w:hAnsi="Times New Roman" w:cs="Times New Roman"/>
            <w:color w:val="0000FF"/>
            <w:sz w:val="24"/>
            <w:szCs w:val="24"/>
            <w:u w:val="single"/>
            <w:vertAlign w:val="superscript"/>
          </w:rPr>
          <w:t>3</w:t>
        </w:r>
      </w:hyperlink>
      <w:r w:rsidRPr="00A4376F">
        <w:rPr>
          <w:rFonts w:ascii="Times New Roman" w:eastAsia="Times New Roman" w:hAnsi="Times New Roman" w:cs="Times New Roman"/>
          <w:sz w:val="24"/>
          <w:szCs w:val="24"/>
          <w:vertAlign w:val="superscript"/>
        </w:rPr>
        <w:t>]</w:t>
      </w:r>
      <w:r w:rsidRPr="00A4376F">
        <w:rPr>
          <w:rFonts w:ascii="Times New Roman" w:eastAsia="Times New Roman" w:hAnsi="Times New Roman" w:cs="Times New Roman"/>
          <w:sz w:val="24"/>
          <w:szCs w:val="24"/>
        </w:rPr>
        <w:t xml:space="preserve"> offer a detailed algorithm to determine which patients with coronary artery disease could be considered for either aspirin challenge or aspirin desensitization. An overview of aspirin hypersensitivity and various aspirin desensitization strategies geared toward the specific types of reactions are described in the review by </w:t>
      </w:r>
      <w:hyperlink r:id="rId25" w:history="1">
        <w:proofErr w:type="spellStart"/>
        <w:r w:rsidRPr="00A4376F">
          <w:rPr>
            <w:rFonts w:ascii="Times New Roman" w:eastAsia="Times New Roman" w:hAnsi="Times New Roman" w:cs="Times New Roman"/>
            <w:color w:val="0000FF"/>
            <w:sz w:val="24"/>
            <w:szCs w:val="24"/>
            <w:u w:val="single"/>
          </w:rPr>
          <w:t>Lambrakis</w:t>
        </w:r>
        <w:proofErr w:type="spellEnd"/>
        <w:r w:rsidRPr="00A4376F">
          <w:rPr>
            <w:rFonts w:ascii="Times New Roman" w:eastAsia="Times New Roman" w:hAnsi="Times New Roman" w:cs="Times New Roman"/>
            <w:color w:val="0000FF"/>
            <w:sz w:val="24"/>
            <w:szCs w:val="24"/>
            <w:u w:val="single"/>
          </w:rPr>
          <w:t xml:space="preserve"> and colleagues</w:t>
        </w:r>
      </w:hyperlink>
      <w:r w:rsidRPr="00A4376F">
        <w:rPr>
          <w:rFonts w:ascii="Times New Roman" w:eastAsia="Times New Roman" w:hAnsi="Times New Roman" w:cs="Times New Roman"/>
          <w:sz w:val="24"/>
          <w:szCs w:val="24"/>
        </w:rPr>
        <w:t>.</w:t>
      </w:r>
      <w:r w:rsidRPr="00A4376F">
        <w:rPr>
          <w:rFonts w:ascii="Times New Roman" w:eastAsia="Times New Roman" w:hAnsi="Times New Roman" w:cs="Times New Roman"/>
          <w:sz w:val="24"/>
          <w:szCs w:val="24"/>
          <w:vertAlign w:val="superscript"/>
        </w:rPr>
        <w:t>[</w:t>
      </w:r>
      <w:hyperlink r:id="rId26" w:history="1">
        <w:r w:rsidRPr="00A4376F">
          <w:rPr>
            <w:rFonts w:ascii="Times New Roman" w:eastAsia="Times New Roman" w:hAnsi="Times New Roman" w:cs="Times New Roman"/>
            <w:color w:val="0000FF"/>
            <w:sz w:val="24"/>
            <w:szCs w:val="24"/>
            <w:u w:val="single"/>
            <w:vertAlign w:val="superscript"/>
          </w:rPr>
          <w:t>4</w:t>
        </w:r>
      </w:hyperlink>
      <w:r w:rsidRPr="00A4376F">
        <w:rPr>
          <w:rFonts w:ascii="Times New Roman" w:eastAsia="Times New Roman" w:hAnsi="Times New Roman" w:cs="Times New Roman"/>
          <w:sz w:val="24"/>
          <w:szCs w:val="24"/>
          <w:vertAlign w:val="superscript"/>
        </w:rPr>
        <w:t>]</w:t>
      </w:r>
      <w:r w:rsidRPr="00A4376F">
        <w:rPr>
          <w:rFonts w:ascii="Times New Roman" w:eastAsia="Times New Roman" w:hAnsi="Times New Roman" w:cs="Times New Roman"/>
          <w:sz w:val="24"/>
          <w:szCs w:val="24"/>
        </w:rPr>
        <w:t xml:space="preserve"> </w:t>
      </w:r>
    </w:p>
    <w:p w14:paraId="6C44992B" w14:textId="77777777" w:rsidR="00A4376F" w:rsidRPr="00A4376F" w:rsidRDefault="00A4376F" w:rsidP="00A4376F">
      <w:pPr>
        <w:spacing w:before="100" w:beforeAutospacing="1" w:after="100" w:afterAutospacing="1" w:line="240" w:lineRule="auto"/>
        <w:rPr>
          <w:rFonts w:ascii="Times New Roman" w:eastAsia="Times New Roman" w:hAnsi="Times New Roman" w:cs="Times New Roman"/>
          <w:sz w:val="24"/>
          <w:szCs w:val="24"/>
        </w:rPr>
      </w:pPr>
      <w:r w:rsidRPr="00A4376F">
        <w:rPr>
          <w:rFonts w:ascii="Times New Roman" w:eastAsia="Times New Roman" w:hAnsi="Times New Roman" w:cs="Times New Roman"/>
          <w:sz w:val="24"/>
          <w:szCs w:val="24"/>
        </w:rPr>
        <w:t>The recommendations described above are varied and not based on clinical trial data. Further research is needed to identify the optimal approach for antiplatelet therapy in a patient with acute coronary syndrome who is sensitive to aspirin.</w:t>
      </w:r>
    </w:p>
    <w:p w14:paraId="678E5A57" w14:textId="77777777" w:rsidR="006B594B" w:rsidRDefault="006B594B"/>
    <w:sectPr w:rsidR="006B59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AB7FC1"/>
    <w:multiLevelType w:val="multilevel"/>
    <w:tmpl w:val="B6322B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76F"/>
    <w:rsid w:val="006B594B"/>
    <w:rsid w:val="00A4376F"/>
    <w:rsid w:val="00F524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6BC80"/>
  <w15:chartTrackingRefBased/>
  <w15:docId w15:val="{BF7AF728-8E38-4213-B9FD-942E86516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1604228">
      <w:bodyDiv w:val="1"/>
      <w:marLeft w:val="0"/>
      <w:marRight w:val="0"/>
      <w:marTop w:val="0"/>
      <w:marBottom w:val="0"/>
      <w:divBdr>
        <w:top w:val="none" w:sz="0" w:space="0" w:color="auto"/>
        <w:left w:val="none" w:sz="0" w:space="0" w:color="auto"/>
        <w:bottom w:val="none" w:sz="0" w:space="0" w:color="auto"/>
        <w:right w:val="none" w:sz="0" w:space="0" w:color="auto"/>
      </w:divBdr>
      <w:divsChild>
        <w:div w:id="2123841523">
          <w:marLeft w:val="0"/>
          <w:marRight w:val="0"/>
          <w:marTop w:val="0"/>
          <w:marBottom w:val="0"/>
          <w:divBdr>
            <w:top w:val="none" w:sz="0" w:space="0" w:color="auto"/>
            <w:left w:val="none" w:sz="0" w:space="0" w:color="auto"/>
            <w:bottom w:val="none" w:sz="0" w:space="0" w:color="auto"/>
            <w:right w:val="none" w:sz="0" w:space="0" w:color="auto"/>
          </w:divBdr>
          <w:divsChild>
            <w:div w:id="1382634747">
              <w:marLeft w:val="0"/>
              <w:marRight w:val="0"/>
              <w:marTop w:val="0"/>
              <w:marBottom w:val="0"/>
              <w:divBdr>
                <w:top w:val="none" w:sz="0" w:space="0" w:color="auto"/>
                <w:left w:val="none" w:sz="0" w:space="0" w:color="auto"/>
                <w:bottom w:val="none" w:sz="0" w:space="0" w:color="auto"/>
                <w:right w:val="none" w:sz="0" w:space="0" w:color="auto"/>
              </w:divBdr>
            </w:div>
            <w:div w:id="868227986">
              <w:marLeft w:val="0"/>
              <w:marRight w:val="0"/>
              <w:marTop w:val="0"/>
              <w:marBottom w:val="0"/>
              <w:divBdr>
                <w:top w:val="none" w:sz="0" w:space="0" w:color="auto"/>
                <w:left w:val="none" w:sz="0" w:space="0" w:color="auto"/>
                <w:bottom w:val="none" w:sz="0" w:space="0" w:color="auto"/>
                <w:right w:val="none" w:sz="0" w:space="0" w:color="auto"/>
              </w:divBdr>
            </w:div>
            <w:div w:id="1035690221">
              <w:marLeft w:val="0"/>
              <w:marRight w:val="0"/>
              <w:marTop w:val="0"/>
              <w:marBottom w:val="0"/>
              <w:divBdr>
                <w:top w:val="none" w:sz="0" w:space="0" w:color="auto"/>
                <w:left w:val="none" w:sz="0" w:space="0" w:color="auto"/>
                <w:bottom w:val="none" w:sz="0" w:space="0" w:color="auto"/>
                <w:right w:val="none" w:sz="0" w:space="0" w:color="auto"/>
              </w:divBdr>
            </w:div>
          </w:divsChild>
        </w:div>
        <w:div w:id="321861144">
          <w:marLeft w:val="0"/>
          <w:marRight w:val="0"/>
          <w:marTop w:val="0"/>
          <w:marBottom w:val="0"/>
          <w:divBdr>
            <w:top w:val="none" w:sz="0" w:space="0" w:color="auto"/>
            <w:left w:val="none" w:sz="0" w:space="0" w:color="auto"/>
            <w:bottom w:val="none" w:sz="0" w:space="0" w:color="auto"/>
            <w:right w:val="none" w:sz="0" w:space="0" w:color="auto"/>
          </w:divBdr>
          <w:divsChild>
            <w:div w:id="1428884491">
              <w:marLeft w:val="0"/>
              <w:marRight w:val="0"/>
              <w:marTop w:val="0"/>
              <w:marBottom w:val="0"/>
              <w:divBdr>
                <w:top w:val="none" w:sz="0" w:space="0" w:color="auto"/>
                <w:left w:val="none" w:sz="0" w:space="0" w:color="auto"/>
                <w:bottom w:val="none" w:sz="0" w:space="0" w:color="auto"/>
                <w:right w:val="none" w:sz="0" w:space="0" w:color="auto"/>
              </w:divBdr>
              <w:divsChild>
                <w:div w:id="2139761833">
                  <w:marLeft w:val="0"/>
                  <w:marRight w:val="0"/>
                  <w:marTop w:val="0"/>
                  <w:marBottom w:val="0"/>
                  <w:divBdr>
                    <w:top w:val="none" w:sz="0" w:space="0" w:color="auto"/>
                    <w:left w:val="none" w:sz="0" w:space="0" w:color="auto"/>
                    <w:bottom w:val="none" w:sz="0" w:space="0" w:color="auto"/>
                    <w:right w:val="none" w:sz="0" w:space="0" w:color="auto"/>
                  </w:divBdr>
                  <w:divsChild>
                    <w:div w:id="1594171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yperlink" Target="javascript:void(0);" TargetMode="External"/><Relationship Id="rId18" Type="http://schemas.openxmlformats.org/officeDocument/2006/relationships/hyperlink" Target="javascript:void(0);" TargetMode="External"/><Relationship Id="rId26" Type="http://schemas.openxmlformats.org/officeDocument/2006/relationships/hyperlink" Target="javascript:void(0);" TargetMode="External"/><Relationship Id="rId3" Type="http://schemas.openxmlformats.org/officeDocument/2006/relationships/settings" Target="settings.xml"/><Relationship Id="rId21" Type="http://schemas.openxmlformats.org/officeDocument/2006/relationships/hyperlink" Target="javascript:void(0);" TargetMode="External"/><Relationship Id="rId7" Type="http://schemas.openxmlformats.org/officeDocument/2006/relationships/image" Target="media/image1.jpeg"/><Relationship Id="rId12" Type="http://schemas.openxmlformats.org/officeDocument/2006/relationships/hyperlink" Target="javascript:void(0);" TargetMode="External"/><Relationship Id="rId17" Type="http://schemas.openxmlformats.org/officeDocument/2006/relationships/hyperlink" Target="javascript:void(0);" TargetMode="External"/><Relationship Id="rId25" Type="http://schemas.openxmlformats.org/officeDocument/2006/relationships/hyperlink" Target="https://www.medscape.com/viewarticle/755615_3" TargetMode="External"/><Relationship Id="rId2" Type="http://schemas.openxmlformats.org/officeDocument/2006/relationships/styles" Target="styles.xml"/><Relationship Id="rId16" Type="http://schemas.openxmlformats.org/officeDocument/2006/relationships/hyperlink" Target="javascript:void(0);" TargetMode="External"/><Relationship Id="rId20" Type="http://schemas.openxmlformats.org/officeDocument/2006/relationships/hyperlink" Target="javascript:void(0);" TargetMode="External"/><Relationship Id="rId1" Type="http://schemas.openxmlformats.org/officeDocument/2006/relationships/numbering" Target="numbering.xml"/><Relationship Id="rId6" Type="http://schemas.openxmlformats.org/officeDocument/2006/relationships/hyperlink" Target="javascript:initComments()" TargetMode="External"/><Relationship Id="rId11" Type="http://schemas.openxmlformats.org/officeDocument/2006/relationships/hyperlink" Target="javascript:void(0);" TargetMode="External"/><Relationship Id="rId24" Type="http://schemas.openxmlformats.org/officeDocument/2006/relationships/hyperlink" Target="javascript:void(0);" TargetMode="External"/><Relationship Id="rId5" Type="http://schemas.openxmlformats.org/officeDocument/2006/relationships/hyperlink" Target="javascript:showModal('authordisclosures');" TargetMode="External"/><Relationship Id="rId15" Type="http://schemas.openxmlformats.org/officeDocument/2006/relationships/hyperlink" Target="javascript:void(0);" TargetMode="External"/><Relationship Id="rId23" Type="http://schemas.openxmlformats.org/officeDocument/2006/relationships/hyperlink" Target="javascript:void(0);" TargetMode="External"/><Relationship Id="rId28" Type="http://schemas.openxmlformats.org/officeDocument/2006/relationships/theme" Target="theme/theme1.xml"/><Relationship Id="rId10" Type="http://schemas.openxmlformats.org/officeDocument/2006/relationships/hyperlink" Target="javascript:void(0);" TargetMode="External"/><Relationship Id="rId19" Type="http://schemas.openxmlformats.org/officeDocument/2006/relationships/hyperlink" Target="javascript:void(0);" TargetMode="External"/><Relationship Id="rId4" Type="http://schemas.openxmlformats.org/officeDocument/2006/relationships/webSettings" Target="webSettings.xml"/><Relationship Id="rId9" Type="http://schemas.openxmlformats.org/officeDocument/2006/relationships/hyperlink" Target="javascript:void(0);" TargetMode="External"/><Relationship Id="rId14" Type="http://schemas.openxmlformats.org/officeDocument/2006/relationships/hyperlink" Target="javascript:void(0);" TargetMode="External"/><Relationship Id="rId22" Type="http://schemas.openxmlformats.org/officeDocument/2006/relationships/hyperlink" Target="javascript:void(0);"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828</Words>
  <Characters>4722</Characters>
  <Application>Microsoft Office Word</Application>
  <DocSecurity>0</DocSecurity>
  <Lines>39</Lines>
  <Paragraphs>11</Paragraphs>
  <ScaleCrop>false</ScaleCrop>
  <Company/>
  <LinksUpToDate>false</LinksUpToDate>
  <CharactersWithSpaces>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dc:creator>
  <cp:keywords/>
  <dc:description/>
  <cp:lastModifiedBy>Maryam</cp:lastModifiedBy>
  <cp:revision>1</cp:revision>
  <dcterms:created xsi:type="dcterms:W3CDTF">2018-10-20T19:21:00Z</dcterms:created>
  <dcterms:modified xsi:type="dcterms:W3CDTF">2018-10-20T19:25:00Z</dcterms:modified>
</cp:coreProperties>
</file>